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44558B"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44558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4558B">
        <w:rPr>
          <w:rFonts w:ascii="Times New Roman" w:hAnsi="Times New Roman" w:cs="Times New Roman"/>
          <w:sz w:val="24"/>
          <w:szCs w:val="24"/>
        </w:rPr>
        <w:t>Cougar Fish Facility Protocols</w:t>
      </w:r>
      <w:r w:rsidR="005F5218">
        <w:rPr>
          <w:rFonts w:ascii="Times New Roman" w:hAnsi="Times New Roman" w:cs="Times New Roman"/>
          <w:sz w:val="24"/>
          <w:szCs w:val="24"/>
        </w:rPr>
        <w:t xml:space="preserve"> (</w:t>
      </w:r>
      <w:proofErr w:type="spellStart"/>
      <w:r w:rsidR="005F5218">
        <w:rPr>
          <w:rFonts w:ascii="Times New Roman" w:hAnsi="Times New Roman" w:cs="Times New Roman"/>
          <w:sz w:val="24"/>
          <w:szCs w:val="24"/>
        </w:rPr>
        <w:t>outplanting</w:t>
      </w:r>
      <w:proofErr w:type="spellEnd"/>
      <w:r w:rsidR="005F5218">
        <w:rPr>
          <w:rFonts w:ascii="Times New Roman" w:hAnsi="Times New Roman" w:cs="Times New Roman"/>
          <w:sz w:val="24"/>
          <w:szCs w:val="24"/>
        </w:rPr>
        <w:t>/recycling)</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44558B">
        <w:rPr>
          <w:rFonts w:ascii="Times New Roman" w:hAnsi="Times New Roman" w:cs="Times New Roman"/>
          <w:b/>
          <w:sz w:val="24"/>
          <w:szCs w:val="24"/>
        </w:rPr>
        <w:t xml:space="preserve"> –</w:t>
      </w:r>
      <w:r w:rsidRPr="000E317F">
        <w:rPr>
          <w:rFonts w:ascii="Times New Roman" w:hAnsi="Times New Roman" w:cs="Times New Roman"/>
          <w:b/>
          <w:sz w:val="24"/>
          <w:szCs w:val="24"/>
        </w:rPr>
        <w:t xml:space="preserve"> </w:t>
      </w:r>
      <w:r w:rsidR="0075334D">
        <w:rPr>
          <w:rFonts w:ascii="Times New Roman" w:hAnsi="Times New Roman" w:cs="Times New Roman"/>
          <w:sz w:val="24"/>
          <w:szCs w:val="24"/>
        </w:rPr>
        <w:t>1</w:t>
      </w:r>
      <w:r w:rsidR="00CC4479">
        <w:rPr>
          <w:rFonts w:ascii="Times New Roman" w:hAnsi="Times New Roman" w:cs="Times New Roman"/>
          <w:sz w:val="24"/>
          <w:szCs w:val="24"/>
        </w:rPr>
        <w:t>9</w:t>
      </w:r>
      <w:r w:rsidR="0044558B" w:rsidRPr="0044558B">
        <w:rPr>
          <w:rFonts w:ascii="Times New Roman" w:hAnsi="Times New Roman" w:cs="Times New Roman"/>
          <w:sz w:val="24"/>
          <w:szCs w:val="24"/>
        </w:rPr>
        <w:t xml:space="preserve"> </w:t>
      </w:r>
      <w:r w:rsidR="0044558B">
        <w:rPr>
          <w:rFonts w:ascii="Times New Roman" w:hAnsi="Times New Roman" w:cs="Times New Roman"/>
          <w:sz w:val="24"/>
          <w:szCs w:val="24"/>
        </w:rPr>
        <w:t xml:space="preserve">April 2016 </w:t>
      </w:r>
      <w:r w:rsidRPr="000E317F">
        <w:rPr>
          <w:rFonts w:ascii="Times New Roman" w:hAnsi="Times New Roman" w:cs="Times New Roman"/>
          <w:b/>
          <w:sz w:val="24"/>
          <w:szCs w:val="24"/>
        </w:rPr>
        <w:t xml:space="preserv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44558B">
        <w:rPr>
          <w:rFonts w:ascii="Times New Roman" w:hAnsi="Times New Roman" w:cs="Times New Roman"/>
          <w:b/>
          <w:sz w:val="24"/>
          <w:szCs w:val="24"/>
        </w:rPr>
        <w:t xml:space="preserve"> –</w:t>
      </w:r>
      <w:r w:rsidR="00B4247A" w:rsidRPr="000E317F">
        <w:rPr>
          <w:rFonts w:ascii="Times New Roman" w:hAnsi="Times New Roman" w:cs="Times New Roman"/>
          <w:b/>
          <w:sz w:val="24"/>
          <w:szCs w:val="24"/>
        </w:rPr>
        <w:t xml:space="preserve"> </w:t>
      </w:r>
      <w:r w:rsidR="0044558B" w:rsidRPr="0044558B">
        <w:rPr>
          <w:rFonts w:ascii="Times New Roman" w:hAnsi="Times New Roman" w:cs="Times New Roman"/>
          <w:sz w:val="24"/>
          <w:szCs w:val="24"/>
        </w:rPr>
        <w:t>Cougar Dam</w:t>
      </w:r>
      <w:r w:rsidR="00B4247A" w:rsidRPr="000E317F">
        <w:rPr>
          <w:rFonts w:ascii="Times New Roman" w:hAnsi="Times New Roman" w:cs="Times New Roman"/>
          <w:b/>
          <w:sz w:val="24"/>
          <w:szCs w:val="24"/>
        </w:rPr>
        <w:t xml:space="preserve"> </w:t>
      </w:r>
    </w:p>
    <w:p w:rsidR="00B43BDE" w:rsidRPr="0044558B"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RESPONSE DATE</w:t>
      </w:r>
      <w:r w:rsidR="0044558B">
        <w:rPr>
          <w:rFonts w:ascii="Times New Roman" w:hAnsi="Times New Roman" w:cs="Times New Roman"/>
          <w:b/>
          <w:sz w:val="24"/>
          <w:szCs w:val="24"/>
        </w:rPr>
        <w:t xml:space="preserve"> –</w:t>
      </w:r>
      <w:r w:rsidR="009827E8" w:rsidRPr="000E317F">
        <w:rPr>
          <w:rFonts w:ascii="Times New Roman" w:hAnsi="Times New Roman" w:cs="Times New Roman"/>
          <w:b/>
          <w:sz w:val="24"/>
          <w:szCs w:val="24"/>
        </w:rPr>
        <w:t xml:space="preserve"> </w:t>
      </w:r>
      <w:r w:rsidR="00CC4479">
        <w:rPr>
          <w:rFonts w:ascii="Times New Roman" w:hAnsi="Times New Roman" w:cs="Times New Roman"/>
          <w:sz w:val="24"/>
          <w:szCs w:val="24"/>
        </w:rPr>
        <w:t>11</w:t>
      </w:r>
      <w:r w:rsidR="0044558B">
        <w:rPr>
          <w:rFonts w:ascii="Times New Roman" w:hAnsi="Times New Roman" w:cs="Times New Roman"/>
          <w:sz w:val="24"/>
          <w:szCs w:val="24"/>
        </w:rPr>
        <w:t xml:space="preserve"> </w:t>
      </w:r>
      <w:r w:rsidR="0075334D">
        <w:rPr>
          <w:rFonts w:ascii="Times New Roman" w:hAnsi="Times New Roman" w:cs="Times New Roman"/>
          <w:sz w:val="24"/>
          <w:szCs w:val="24"/>
        </w:rPr>
        <w:t>May</w:t>
      </w:r>
      <w:r w:rsidR="0044558B">
        <w:rPr>
          <w:rFonts w:ascii="Times New Roman" w:hAnsi="Times New Roman" w:cs="Times New Roman"/>
          <w:sz w:val="24"/>
          <w:szCs w:val="24"/>
        </w:rPr>
        <w:t xml:space="preserve"> 2016</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p>
    <w:p w:rsidR="00D04073" w:rsidRDefault="00D04073"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Downstream fish passage conditions at Cougar Dam are currently too poor to support a self-sustaining sub-population of spring Chinook salmon.  </w:t>
      </w:r>
      <w:r w:rsidR="00286BB9">
        <w:rPr>
          <w:rFonts w:ascii="Times New Roman" w:hAnsi="Times New Roman" w:cs="Times New Roman"/>
          <w:sz w:val="24"/>
          <w:szCs w:val="24"/>
        </w:rPr>
        <w:t>Therefore when adults originating from below the dam are transported above the</w:t>
      </w:r>
      <w:bookmarkStart w:id="0" w:name="_GoBack"/>
      <w:bookmarkEnd w:id="0"/>
      <w:r w:rsidR="00286BB9">
        <w:rPr>
          <w:rFonts w:ascii="Times New Roman" w:hAnsi="Times New Roman" w:cs="Times New Roman"/>
          <w:sz w:val="24"/>
          <w:szCs w:val="24"/>
        </w:rPr>
        <w:t xml:space="preserve"> dam, productivity of the McKenzie population is reduced.  </w:t>
      </w:r>
      <w:r w:rsidR="0044558B">
        <w:rPr>
          <w:rFonts w:ascii="Times New Roman" w:hAnsi="Times New Roman" w:cs="Times New Roman"/>
          <w:sz w:val="24"/>
          <w:szCs w:val="24"/>
        </w:rPr>
        <w:t xml:space="preserve">Various </w:t>
      </w:r>
      <w:r w:rsidR="004E6709">
        <w:rPr>
          <w:rFonts w:ascii="Times New Roman" w:hAnsi="Times New Roman" w:cs="Times New Roman"/>
          <w:sz w:val="24"/>
          <w:szCs w:val="24"/>
        </w:rPr>
        <w:t xml:space="preserve">transport </w:t>
      </w:r>
      <w:r w:rsidR="0044558B">
        <w:rPr>
          <w:rFonts w:ascii="Times New Roman" w:hAnsi="Times New Roman" w:cs="Times New Roman"/>
          <w:sz w:val="24"/>
          <w:szCs w:val="24"/>
        </w:rPr>
        <w:t xml:space="preserve">approaches for moving </w:t>
      </w:r>
      <w:r w:rsidR="004E6709">
        <w:rPr>
          <w:rFonts w:ascii="Times New Roman" w:hAnsi="Times New Roman" w:cs="Times New Roman"/>
          <w:sz w:val="24"/>
          <w:szCs w:val="24"/>
        </w:rPr>
        <w:t xml:space="preserve">natural origin (unmarked) </w:t>
      </w:r>
      <w:r w:rsidR="0044558B">
        <w:rPr>
          <w:rFonts w:ascii="Times New Roman" w:hAnsi="Times New Roman" w:cs="Times New Roman"/>
          <w:sz w:val="24"/>
          <w:szCs w:val="24"/>
        </w:rPr>
        <w:t>spring Chinook after collection at the Cougar Fish Facility have been implemen</w:t>
      </w:r>
      <w:r w:rsidR="00BE6C17">
        <w:rPr>
          <w:rFonts w:ascii="Times New Roman" w:hAnsi="Times New Roman" w:cs="Times New Roman"/>
          <w:sz w:val="24"/>
          <w:szCs w:val="24"/>
        </w:rPr>
        <w:t>ted the last few years</w:t>
      </w:r>
      <w:r>
        <w:rPr>
          <w:rFonts w:ascii="Times New Roman" w:hAnsi="Times New Roman" w:cs="Times New Roman"/>
          <w:sz w:val="24"/>
          <w:szCs w:val="24"/>
        </w:rPr>
        <w:t>, with a goal to minimize transport of unmarked spring Chinook originating from below Cougar Dam upstream of the dam</w:t>
      </w:r>
      <w:r w:rsidR="00846AF2">
        <w:rPr>
          <w:rFonts w:ascii="Times New Roman" w:hAnsi="Times New Roman" w:cs="Times New Roman"/>
          <w:sz w:val="24"/>
          <w:szCs w:val="24"/>
        </w:rPr>
        <w:t>, and</w:t>
      </w:r>
      <w:r>
        <w:rPr>
          <w:rFonts w:ascii="Times New Roman" w:hAnsi="Times New Roman" w:cs="Times New Roman"/>
          <w:sz w:val="24"/>
          <w:szCs w:val="24"/>
        </w:rPr>
        <w:t xml:space="preserve"> avoid “mining” from the downstream McKenzie spring Chinook salmon population.  In ODFW’s proposal for the 2015 season, it called to </w:t>
      </w:r>
      <w:r w:rsidRPr="00647FCF">
        <w:rPr>
          <w:rFonts w:ascii="Times New Roman" w:hAnsi="Times New Roman" w:cs="Times New Roman"/>
          <w:sz w:val="24"/>
          <w:szCs w:val="24"/>
        </w:rPr>
        <w:t xml:space="preserve">limit </w:t>
      </w:r>
      <w:r>
        <w:rPr>
          <w:rFonts w:ascii="Times New Roman" w:hAnsi="Times New Roman" w:cs="Times New Roman"/>
          <w:sz w:val="24"/>
          <w:szCs w:val="24"/>
        </w:rPr>
        <w:t>transporting unmarked adult spring Chinook</w:t>
      </w:r>
      <w:r w:rsidR="002D4DC2">
        <w:rPr>
          <w:rFonts w:ascii="Times New Roman" w:hAnsi="Times New Roman" w:cs="Times New Roman"/>
          <w:sz w:val="24"/>
          <w:szCs w:val="24"/>
        </w:rPr>
        <w:t xml:space="preserve"> above Cougar Dam</w:t>
      </w:r>
      <w:r>
        <w:rPr>
          <w:rFonts w:ascii="Times New Roman" w:hAnsi="Times New Roman" w:cs="Times New Roman"/>
          <w:sz w:val="24"/>
          <w:szCs w:val="24"/>
        </w:rPr>
        <w:t xml:space="preserve"> from the</w:t>
      </w:r>
      <w:r w:rsidRPr="00647FCF">
        <w:rPr>
          <w:rFonts w:ascii="Times New Roman" w:hAnsi="Times New Roman" w:cs="Times New Roman"/>
          <w:sz w:val="24"/>
          <w:szCs w:val="24"/>
        </w:rPr>
        <w:t xml:space="preserve"> population </w:t>
      </w:r>
      <w:r>
        <w:rPr>
          <w:rFonts w:ascii="Times New Roman" w:hAnsi="Times New Roman" w:cs="Times New Roman"/>
          <w:sz w:val="24"/>
          <w:szCs w:val="24"/>
        </w:rPr>
        <w:t xml:space="preserve">of natural origin returns below Cougar Dam </w:t>
      </w:r>
      <w:r w:rsidRPr="00647FCF">
        <w:rPr>
          <w:rFonts w:ascii="Times New Roman" w:hAnsi="Times New Roman" w:cs="Times New Roman"/>
          <w:sz w:val="24"/>
          <w:szCs w:val="24"/>
        </w:rPr>
        <w:t>to 2% or less</w:t>
      </w:r>
      <w:r w:rsidR="00B30EA5">
        <w:rPr>
          <w:rFonts w:ascii="Times New Roman" w:hAnsi="Times New Roman" w:cs="Times New Roman"/>
          <w:sz w:val="24"/>
          <w:szCs w:val="24"/>
        </w:rPr>
        <w:t xml:space="preserve"> (Attachment 1)</w:t>
      </w:r>
      <w:r>
        <w:rPr>
          <w:rFonts w:ascii="Times New Roman" w:hAnsi="Times New Roman" w:cs="Times New Roman"/>
          <w:sz w:val="24"/>
          <w:szCs w:val="24"/>
        </w:rPr>
        <w:t xml:space="preserve">.  </w:t>
      </w:r>
    </w:p>
    <w:p w:rsidR="00D04073" w:rsidRDefault="00D04073" w:rsidP="00B43BDE">
      <w:pPr>
        <w:pStyle w:val="PlainText"/>
        <w:rPr>
          <w:rFonts w:ascii="Times New Roman" w:hAnsi="Times New Roman" w:cs="Times New Roman"/>
          <w:sz w:val="24"/>
          <w:szCs w:val="24"/>
        </w:rPr>
      </w:pPr>
    </w:p>
    <w:p w:rsidR="00D04073" w:rsidRDefault="00BE6C17" w:rsidP="00B43BDE">
      <w:pPr>
        <w:pStyle w:val="PlainText"/>
        <w:rPr>
          <w:rFonts w:ascii="Times New Roman" w:hAnsi="Times New Roman" w:cs="Times New Roman"/>
          <w:sz w:val="24"/>
          <w:szCs w:val="24"/>
        </w:rPr>
      </w:pPr>
      <w:r>
        <w:rPr>
          <w:rFonts w:ascii="Times New Roman" w:hAnsi="Times New Roman" w:cs="Times New Roman"/>
          <w:sz w:val="24"/>
          <w:szCs w:val="24"/>
        </w:rPr>
        <w:t>In 2012</w:t>
      </w:r>
      <w:r w:rsidR="0023743D">
        <w:rPr>
          <w:rFonts w:ascii="Times New Roman" w:hAnsi="Times New Roman" w:cs="Times New Roman"/>
          <w:sz w:val="24"/>
          <w:szCs w:val="24"/>
        </w:rPr>
        <w:t xml:space="preserve"> and earlier</w:t>
      </w:r>
      <w:r w:rsidR="0044558B">
        <w:rPr>
          <w:rFonts w:ascii="Times New Roman" w:hAnsi="Times New Roman" w:cs="Times New Roman"/>
          <w:sz w:val="24"/>
          <w:szCs w:val="24"/>
        </w:rPr>
        <w:t>, any natural origin (</w:t>
      </w:r>
      <w:proofErr w:type="spellStart"/>
      <w:r w:rsidR="0044558B">
        <w:rPr>
          <w:rFonts w:ascii="Times New Roman" w:hAnsi="Times New Roman" w:cs="Times New Roman"/>
          <w:sz w:val="24"/>
          <w:szCs w:val="24"/>
        </w:rPr>
        <w:t>unclippped</w:t>
      </w:r>
      <w:proofErr w:type="spellEnd"/>
      <w:r w:rsidR="0044558B">
        <w:rPr>
          <w:rFonts w:ascii="Times New Roman" w:hAnsi="Times New Roman" w:cs="Times New Roman"/>
          <w:sz w:val="24"/>
          <w:szCs w:val="24"/>
        </w:rPr>
        <w:t>) spring Chinook</w:t>
      </w:r>
      <w:r>
        <w:rPr>
          <w:rFonts w:ascii="Times New Roman" w:hAnsi="Times New Roman" w:cs="Times New Roman"/>
          <w:sz w:val="24"/>
          <w:szCs w:val="24"/>
        </w:rPr>
        <w:t xml:space="preserve"> </w:t>
      </w:r>
      <w:r w:rsidR="0075334D">
        <w:rPr>
          <w:rFonts w:ascii="Times New Roman" w:hAnsi="Times New Roman" w:cs="Times New Roman"/>
          <w:sz w:val="24"/>
          <w:szCs w:val="24"/>
        </w:rPr>
        <w:t xml:space="preserve">salmon </w:t>
      </w:r>
      <w:r>
        <w:rPr>
          <w:rFonts w:ascii="Times New Roman" w:hAnsi="Times New Roman" w:cs="Times New Roman"/>
          <w:sz w:val="24"/>
          <w:szCs w:val="24"/>
        </w:rPr>
        <w:t>were</w:t>
      </w:r>
      <w:r w:rsidR="002444BF">
        <w:rPr>
          <w:rFonts w:ascii="Times New Roman" w:hAnsi="Times New Roman" w:cs="Times New Roman"/>
          <w:sz w:val="24"/>
          <w:szCs w:val="24"/>
        </w:rPr>
        <w:t xml:space="preserve"> </w:t>
      </w:r>
      <w:proofErr w:type="gramStart"/>
      <w:r w:rsidR="002444BF">
        <w:rPr>
          <w:rFonts w:ascii="Times New Roman" w:hAnsi="Times New Roman" w:cs="Times New Roman"/>
          <w:sz w:val="24"/>
          <w:szCs w:val="24"/>
        </w:rPr>
        <w:t>transported</w:t>
      </w:r>
      <w:proofErr w:type="gramEnd"/>
      <w:r w:rsidR="002444BF">
        <w:rPr>
          <w:rFonts w:ascii="Times New Roman" w:hAnsi="Times New Roman" w:cs="Times New Roman"/>
          <w:sz w:val="24"/>
          <w:szCs w:val="24"/>
        </w:rPr>
        <w:t xml:space="preserve"> and released above Cougar Da</w:t>
      </w:r>
      <w:r>
        <w:rPr>
          <w:rFonts w:ascii="Times New Roman" w:hAnsi="Times New Roman" w:cs="Times New Roman"/>
          <w:sz w:val="24"/>
          <w:szCs w:val="24"/>
        </w:rPr>
        <w:t>m.  During planning for the 2013</w:t>
      </w:r>
      <w:r w:rsidR="002444BF">
        <w:rPr>
          <w:rFonts w:ascii="Times New Roman" w:hAnsi="Times New Roman" w:cs="Times New Roman"/>
          <w:sz w:val="24"/>
          <w:szCs w:val="24"/>
        </w:rPr>
        <w:t xml:space="preserve"> adult spring Chinook migration, it was proposed (Attachment 5) by the Oregon Department of Fish and Wildlife</w:t>
      </w:r>
      <w:r>
        <w:rPr>
          <w:rFonts w:ascii="Times New Roman" w:hAnsi="Times New Roman" w:cs="Times New Roman"/>
          <w:sz w:val="24"/>
          <w:szCs w:val="24"/>
        </w:rPr>
        <w:t xml:space="preserve"> (ODFW)</w:t>
      </w:r>
      <w:r w:rsidR="002444BF">
        <w:rPr>
          <w:rFonts w:ascii="Times New Roman" w:hAnsi="Times New Roman" w:cs="Times New Roman"/>
          <w:sz w:val="24"/>
          <w:szCs w:val="24"/>
        </w:rPr>
        <w:t xml:space="preserve"> that any fish returning to the Cougar Fish Facility after September 1 b</w:t>
      </w:r>
      <w:r w:rsidR="001C21FD">
        <w:rPr>
          <w:rFonts w:ascii="Times New Roman" w:hAnsi="Times New Roman" w:cs="Times New Roman"/>
          <w:sz w:val="24"/>
          <w:szCs w:val="24"/>
        </w:rPr>
        <w:t>e recycled downstream, and if they</w:t>
      </w:r>
      <w:r w:rsidR="002444BF">
        <w:rPr>
          <w:rFonts w:ascii="Times New Roman" w:hAnsi="Times New Roman" w:cs="Times New Roman"/>
          <w:sz w:val="24"/>
          <w:szCs w:val="24"/>
        </w:rPr>
        <w:t xml:space="preserve"> returned again to the Cougar Fish Facility </w:t>
      </w:r>
      <w:r w:rsidR="001C21FD">
        <w:rPr>
          <w:rFonts w:ascii="Times New Roman" w:hAnsi="Times New Roman" w:cs="Times New Roman"/>
          <w:sz w:val="24"/>
          <w:szCs w:val="24"/>
        </w:rPr>
        <w:t>they were</w:t>
      </w:r>
      <w:r w:rsidR="002444BF">
        <w:rPr>
          <w:rFonts w:ascii="Times New Roman" w:hAnsi="Times New Roman" w:cs="Times New Roman"/>
          <w:sz w:val="24"/>
          <w:szCs w:val="24"/>
        </w:rPr>
        <w:t xml:space="preserve"> then moved and released above Cougar Dam.  This was based on pedigree studies indicating that the majority of fish returning to Cougar Dam before September 1 were offspring of </w:t>
      </w:r>
      <w:r w:rsidR="00D04073">
        <w:rPr>
          <w:rFonts w:ascii="Times New Roman" w:hAnsi="Times New Roman" w:cs="Times New Roman"/>
          <w:sz w:val="24"/>
          <w:szCs w:val="24"/>
        </w:rPr>
        <w:t xml:space="preserve">transports </w:t>
      </w:r>
      <w:r w:rsidR="002444BF">
        <w:rPr>
          <w:rFonts w:ascii="Times New Roman" w:hAnsi="Times New Roman" w:cs="Times New Roman"/>
          <w:sz w:val="24"/>
          <w:szCs w:val="24"/>
        </w:rPr>
        <w:t xml:space="preserve">above the dam.  </w:t>
      </w:r>
      <w:r w:rsidR="0095652D">
        <w:rPr>
          <w:rFonts w:ascii="Times New Roman" w:hAnsi="Times New Roman" w:cs="Times New Roman"/>
          <w:sz w:val="24"/>
          <w:szCs w:val="24"/>
        </w:rPr>
        <w:t xml:space="preserve">During 2015, </w:t>
      </w:r>
      <w:r>
        <w:rPr>
          <w:rFonts w:ascii="Times New Roman" w:hAnsi="Times New Roman" w:cs="Times New Roman"/>
          <w:sz w:val="24"/>
          <w:szCs w:val="24"/>
        </w:rPr>
        <w:t>ODFW and the National Marine Fisheries Service (NMFS)</w:t>
      </w:r>
      <w:r w:rsidR="0095652D">
        <w:rPr>
          <w:rFonts w:ascii="Times New Roman" w:hAnsi="Times New Roman" w:cs="Times New Roman"/>
          <w:sz w:val="24"/>
          <w:szCs w:val="24"/>
        </w:rPr>
        <w:t xml:space="preserve"> decided that all spring Chinook salmon, regardless of date, b</w:t>
      </w:r>
      <w:r>
        <w:rPr>
          <w:rFonts w:ascii="Times New Roman" w:hAnsi="Times New Roman" w:cs="Times New Roman"/>
          <w:sz w:val="24"/>
          <w:szCs w:val="24"/>
        </w:rPr>
        <w:t>e recycled downstream, and if they</w:t>
      </w:r>
      <w:r w:rsidR="0095652D">
        <w:rPr>
          <w:rFonts w:ascii="Times New Roman" w:hAnsi="Times New Roman" w:cs="Times New Roman"/>
          <w:sz w:val="24"/>
          <w:szCs w:val="24"/>
        </w:rPr>
        <w:t xml:space="preserve"> returned again to the Cougar Fish Facility </w:t>
      </w:r>
      <w:r>
        <w:rPr>
          <w:rFonts w:ascii="Times New Roman" w:hAnsi="Times New Roman" w:cs="Times New Roman"/>
          <w:sz w:val="24"/>
          <w:szCs w:val="24"/>
        </w:rPr>
        <w:t xml:space="preserve">they would </w:t>
      </w:r>
      <w:r w:rsidR="0095652D">
        <w:rPr>
          <w:rFonts w:ascii="Times New Roman" w:hAnsi="Times New Roman" w:cs="Times New Roman"/>
          <w:sz w:val="24"/>
          <w:szCs w:val="24"/>
        </w:rPr>
        <w:t xml:space="preserve">then </w:t>
      </w:r>
      <w:r w:rsidR="0075334D">
        <w:rPr>
          <w:rFonts w:ascii="Times New Roman" w:hAnsi="Times New Roman" w:cs="Times New Roman"/>
          <w:sz w:val="24"/>
          <w:szCs w:val="24"/>
        </w:rPr>
        <w:t xml:space="preserve">be </w:t>
      </w:r>
      <w:r w:rsidR="0095652D">
        <w:rPr>
          <w:rFonts w:ascii="Times New Roman" w:hAnsi="Times New Roman" w:cs="Times New Roman"/>
          <w:sz w:val="24"/>
          <w:szCs w:val="24"/>
        </w:rPr>
        <w:t xml:space="preserve">moved and released above Cougar Dam despite concern from the USACE (Attachment 2 and 3).  </w:t>
      </w:r>
    </w:p>
    <w:p w:rsidR="00D04073" w:rsidRDefault="00D04073" w:rsidP="00B43BDE">
      <w:pPr>
        <w:pStyle w:val="PlainText"/>
        <w:rPr>
          <w:rFonts w:ascii="Times New Roman" w:hAnsi="Times New Roman" w:cs="Times New Roman"/>
          <w:sz w:val="24"/>
          <w:szCs w:val="24"/>
        </w:rPr>
      </w:pPr>
    </w:p>
    <w:p w:rsidR="0044558B" w:rsidRDefault="00D04073">
      <w:pPr>
        <w:pStyle w:val="PlainText"/>
        <w:rPr>
          <w:rFonts w:ascii="Times New Roman" w:hAnsi="Times New Roman" w:cs="Times New Roman"/>
          <w:sz w:val="24"/>
          <w:szCs w:val="24"/>
        </w:rPr>
      </w:pPr>
      <w:r>
        <w:rPr>
          <w:rFonts w:ascii="Times New Roman" w:hAnsi="Times New Roman" w:cs="Times New Roman"/>
          <w:sz w:val="24"/>
          <w:szCs w:val="24"/>
        </w:rPr>
        <w:t>C</w:t>
      </w:r>
      <w:r w:rsidR="00E76694">
        <w:rPr>
          <w:rFonts w:ascii="Times New Roman" w:hAnsi="Times New Roman" w:cs="Times New Roman"/>
          <w:sz w:val="24"/>
          <w:szCs w:val="24"/>
        </w:rPr>
        <w:t>ontinuing pedigree analysis performed by Oregon State University</w:t>
      </w:r>
      <w:r>
        <w:rPr>
          <w:rFonts w:ascii="Times New Roman" w:hAnsi="Times New Roman" w:cs="Times New Roman"/>
          <w:sz w:val="24"/>
          <w:szCs w:val="24"/>
        </w:rPr>
        <w:t xml:space="preserve"> shows </w:t>
      </w:r>
      <w:r w:rsidR="00BB4113">
        <w:rPr>
          <w:rFonts w:ascii="Times New Roman" w:hAnsi="Times New Roman" w:cs="Times New Roman"/>
          <w:sz w:val="24"/>
          <w:szCs w:val="24"/>
        </w:rPr>
        <w:t>that the majority of fish returning to Cougar Dam before</w:t>
      </w:r>
      <w:r w:rsidR="00C44C26">
        <w:rPr>
          <w:rFonts w:ascii="Times New Roman" w:hAnsi="Times New Roman" w:cs="Times New Roman"/>
          <w:sz w:val="24"/>
          <w:szCs w:val="24"/>
        </w:rPr>
        <w:t xml:space="preserve"> September 1 were produced above the dam.  </w:t>
      </w:r>
      <w:r w:rsidR="0049553B">
        <w:rPr>
          <w:rFonts w:ascii="Times New Roman" w:hAnsi="Times New Roman" w:cs="Times New Roman"/>
          <w:sz w:val="24"/>
          <w:szCs w:val="24"/>
        </w:rPr>
        <w:t xml:space="preserve">In 2013 and 2014, an estimate of about 2.4% of the downstream </w:t>
      </w:r>
      <w:r w:rsidR="004E6709">
        <w:rPr>
          <w:rFonts w:ascii="Times New Roman" w:hAnsi="Times New Roman" w:cs="Times New Roman"/>
          <w:sz w:val="24"/>
          <w:szCs w:val="24"/>
        </w:rPr>
        <w:t xml:space="preserve">spawning </w:t>
      </w:r>
      <w:r w:rsidR="0049553B">
        <w:rPr>
          <w:rFonts w:ascii="Times New Roman" w:hAnsi="Times New Roman" w:cs="Times New Roman"/>
          <w:sz w:val="24"/>
          <w:szCs w:val="24"/>
        </w:rPr>
        <w:t xml:space="preserve">population was </w:t>
      </w:r>
      <w:r w:rsidR="004E6709">
        <w:rPr>
          <w:rFonts w:ascii="Times New Roman" w:hAnsi="Times New Roman" w:cs="Times New Roman"/>
          <w:sz w:val="24"/>
          <w:szCs w:val="24"/>
        </w:rPr>
        <w:t xml:space="preserve">transported </w:t>
      </w:r>
      <w:r w:rsidR="0049553B">
        <w:rPr>
          <w:rFonts w:ascii="Times New Roman" w:hAnsi="Times New Roman" w:cs="Times New Roman"/>
          <w:sz w:val="24"/>
          <w:szCs w:val="24"/>
        </w:rPr>
        <w:t xml:space="preserve">above Cougar Dam and equates to approximately 4-5 spring Chinook salmon mined from the </w:t>
      </w:r>
      <w:r w:rsidR="004E6709">
        <w:rPr>
          <w:rFonts w:ascii="Times New Roman" w:hAnsi="Times New Roman" w:cs="Times New Roman"/>
          <w:sz w:val="24"/>
          <w:szCs w:val="24"/>
        </w:rPr>
        <w:t xml:space="preserve">spawning </w:t>
      </w:r>
      <w:r w:rsidR="0049553B">
        <w:rPr>
          <w:rFonts w:ascii="Times New Roman" w:hAnsi="Times New Roman" w:cs="Times New Roman"/>
          <w:sz w:val="24"/>
          <w:szCs w:val="24"/>
        </w:rPr>
        <w:t xml:space="preserve">population below Cougar Dam.  </w:t>
      </w:r>
      <w:r w:rsidR="00911D8E">
        <w:rPr>
          <w:rFonts w:ascii="Times New Roman" w:hAnsi="Times New Roman" w:cs="Times New Roman"/>
          <w:sz w:val="24"/>
          <w:szCs w:val="24"/>
        </w:rPr>
        <w:t xml:space="preserve">The protocol implemented during 2015 resulted in </w:t>
      </w:r>
      <w:r w:rsidR="004E6709">
        <w:rPr>
          <w:rFonts w:ascii="Times New Roman" w:hAnsi="Times New Roman" w:cs="Times New Roman"/>
          <w:sz w:val="24"/>
          <w:szCs w:val="24"/>
        </w:rPr>
        <w:t xml:space="preserve">transporting </w:t>
      </w:r>
      <w:r w:rsidR="00911D8E">
        <w:rPr>
          <w:rFonts w:ascii="Times New Roman" w:hAnsi="Times New Roman" w:cs="Times New Roman"/>
          <w:sz w:val="24"/>
          <w:szCs w:val="24"/>
        </w:rPr>
        <w:t xml:space="preserve">1% of the downstream </w:t>
      </w:r>
      <w:r w:rsidR="004E6709">
        <w:rPr>
          <w:rFonts w:ascii="Times New Roman" w:hAnsi="Times New Roman" w:cs="Times New Roman"/>
          <w:sz w:val="24"/>
          <w:szCs w:val="24"/>
        </w:rPr>
        <w:t xml:space="preserve">spawning </w:t>
      </w:r>
      <w:r w:rsidR="00911D8E">
        <w:rPr>
          <w:rFonts w:ascii="Times New Roman" w:hAnsi="Times New Roman" w:cs="Times New Roman"/>
          <w:sz w:val="24"/>
          <w:szCs w:val="24"/>
        </w:rPr>
        <w:t>populati</w:t>
      </w:r>
      <w:r w:rsidR="001C21FD">
        <w:rPr>
          <w:rFonts w:ascii="Times New Roman" w:hAnsi="Times New Roman" w:cs="Times New Roman"/>
          <w:sz w:val="24"/>
          <w:szCs w:val="24"/>
        </w:rPr>
        <w:t>on above Cougar Dam, however, this</w:t>
      </w:r>
      <w:r w:rsidR="00911D8E">
        <w:rPr>
          <w:rFonts w:ascii="Times New Roman" w:hAnsi="Times New Roman" w:cs="Times New Roman"/>
          <w:sz w:val="24"/>
          <w:szCs w:val="24"/>
        </w:rPr>
        <w:t xml:space="preserve"> required double-</w:t>
      </w:r>
      <w:proofErr w:type="spellStart"/>
      <w:r w:rsidR="00911D8E">
        <w:rPr>
          <w:rFonts w:ascii="Times New Roman" w:hAnsi="Times New Roman" w:cs="Times New Roman"/>
          <w:sz w:val="24"/>
          <w:szCs w:val="24"/>
        </w:rPr>
        <w:t>floy</w:t>
      </w:r>
      <w:proofErr w:type="spellEnd"/>
      <w:r w:rsidR="00911D8E">
        <w:rPr>
          <w:rFonts w:ascii="Times New Roman" w:hAnsi="Times New Roman" w:cs="Times New Roman"/>
          <w:sz w:val="24"/>
          <w:szCs w:val="24"/>
        </w:rPr>
        <w:t xml:space="preserve"> tagging, </w:t>
      </w:r>
      <w:r w:rsidR="001C21FD">
        <w:rPr>
          <w:rFonts w:ascii="Times New Roman" w:hAnsi="Times New Roman" w:cs="Times New Roman"/>
          <w:sz w:val="24"/>
          <w:szCs w:val="24"/>
        </w:rPr>
        <w:t xml:space="preserve">excessive </w:t>
      </w:r>
      <w:r w:rsidR="00911D8E">
        <w:rPr>
          <w:rFonts w:ascii="Times New Roman" w:hAnsi="Times New Roman" w:cs="Times New Roman"/>
          <w:sz w:val="24"/>
          <w:szCs w:val="24"/>
        </w:rPr>
        <w:t xml:space="preserve">handling, and delaying spawning of natural origin spring Chinook salmon. </w:t>
      </w:r>
      <w:r w:rsidR="000B1661">
        <w:rPr>
          <w:rFonts w:ascii="Times New Roman" w:hAnsi="Times New Roman" w:cs="Times New Roman"/>
          <w:sz w:val="24"/>
          <w:szCs w:val="24"/>
        </w:rPr>
        <w:t xml:space="preserve">These percentages are biased high since 1) the </w:t>
      </w:r>
      <w:r w:rsidR="00846AF2">
        <w:rPr>
          <w:rFonts w:ascii="Times New Roman" w:hAnsi="Times New Roman" w:cs="Times New Roman"/>
          <w:sz w:val="24"/>
          <w:szCs w:val="24"/>
        </w:rPr>
        <w:t>unassigned transports were</w:t>
      </w:r>
      <w:r w:rsidR="000B1661">
        <w:rPr>
          <w:rFonts w:ascii="Times New Roman" w:hAnsi="Times New Roman" w:cs="Times New Roman"/>
          <w:sz w:val="24"/>
          <w:szCs w:val="24"/>
        </w:rPr>
        <w:t xml:space="preserve"> calculated as a percent of the number of natural origin </w:t>
      </w:r>
      <w:proofErr w:type="spellStart"/>
      <w:r w:rsidR="000B1661">
        <w:rPr>
          <w:rFonts w:ascii="Times New Roman" w:hAnsi="Times New Roman" w:cs="Times New Roman"/>
          <w:sz w:val="24"/>
          <w:szCs w:val="24"/>
        </w:rPr>
        <w:t>spawners</w:t>
      </w:r>
      <w:proofErr w:type="spellEnd"/>
      <w:r w:rsidR="000B1661">
        <w:rPr>
          <w:rFonts w:ascii="Times New Roman" w:hAnsi="Times New Roman" w:cs="Times New Roman"/>
          <w:sz w:val="24"/>
          <w:szCs w:val="24"/>
        </w:rPr>
        <w:t xml:space="preserve"> instead of the number of natural origin returns, and 2) some unassigned transports likely originated from above Cougar Dam.</w:t>
      </w:r>
      <w:r w:rsidR="00846AF2">
        <w:rPr>
          <w:rFonts w:ascii="Times New Roman" w:hAnsi="Times New Roman" w:cs="Times New Roman"/>
          <w:sz w:val="24"/>
          <w:szCs w:val="24"/>
        </w:rPr>
        <w:t xml:space="preserve">  In </w:t>
      </w:r>
      <w:r w:rsidR="00846AF2">
        <w:rPr>
          <w:rFonts w:ascii="Times New Roman" w:hAnsi="Times New Roman" w:cs="Times New Roman"/>
          <w:sz w:val="24"/>
          <w:szCs w:val="24"/>
        </w:rPr>
        <w:lastRenderedPageBreak/>
        <w:t>addition, some adults originating above Cougar may spawn below Cougar Dam, increasing productivity of the McKenzie population.</w:t>
      </w:r>
    </w:p>
    <w:p w:rsidR="00C44C26" w:rsidRDefault="00C44C26" w:rsidP="00B43BDE">
      <w:pPr>
        <w:pStyle w:val="PlainText"/>
        <w:rPr>
          <w:rFonts w:ascii="Times New Roman" w:hAnsi="Times New Roman" w:cs="Times New Roman"/>
          <w:sz w:val="24"/>
          <w:szCs w:val="24"/>
        </w:rPr>
      </w:pPr>
    </w:p>
    <w:p w:rsidR="00D04073" w:rsidRDefault="00D04073" w:rsidP="00B43BDE">
      <w:pPr>
        <w:pStyle w:val="PlainText"/>
        <w:rPr>
          <w:rFonts w:ascii="Times New Roman" w:hAnsi="Times New Roman" w:cs="Times New Roman"/>
          <w:sz w:val="24"/>
          <w:szCs w:val="24"/>
        </w:rPr>
      </w:pPr>
      <w:r>
        <w:rPr>
          <w:rFonts w:ascii="Times New Roman" w:hAnsi="Times New Roman" w:cs="Times New Roman"/>
          <w:sz w:val="24"/>
          <w:szCs w:val="24"/>
        </w:rPr>
        <w:t>Since the “after September 1</w:t>
      </w:r>
      <w:r w:rsidRPr="002D4DC2">
        <w:rPr>
          <w:rFonts w:ascii="Times New Roman" w:hAnsi="Times New Roman" w:cs="Times New Roman"/>
          <w:sz w:val="24"/>
          <w:szCs w:val="24"/>
          <w:vertAlign w:val="superscript"/>
        </w:rPr>
        <w:t>st</w:t>
      </w:r>
      <w:r>
        <w:rPr>
          <w:rFonts w:ascii="Times New Roman" w:hAnsi="Times New Roman" w:cs="Times New Roman"/>
          <w:sz w:val="24"/>
          <w:szCs w:val="24"/>
        </w:rPr>
        <w:t xml:space="preserve"> recycling protocol” has ess</w:t>
      </w:r>
      <w:r w:rsidR="000B1661">
        <w:rPr>
          <w:rFonts w:ascii="Times New Roman" w:hAnsi="Times New Roman" w:cs="Times New Roman"/>
          <w:sz w:val="24"/>
          <w:szCs w:val="24"/>
        </w:rPr>
        <w:t>entially met</w:t>
      </w:r>
      <w:r>
        <w:rPr>
          <w:rFonts w:ascii="Times New Roman" w:hAnsi="Times New Roman" w:cs="Times New Roman"/>
          <w:sz w:val="24"/>
          <w:szCs w:val="24"/>
        </w:rPr>
        <w:t xml:space="preserve"> the goal to minimize mining</w:t>
      </w:r>
      <w:r w:rsidR="00846AF2">
        <w:rPr>
          <w:rFonts w:ascii="Times New Roman" w:hAnsi="Times New Roman" w:cs="Times New Roman"/>
          <w:sz w:val="24"/>
          <w:szCs w:val="24"/>
        </w:rPr>
        <w:t xml:space="preserve"> when considering the bias in the estimated 2.4%</w:t>
      </w:r>
      <w:r>
        <w:rPr>
          <w:rFonts w:ascii="Times New Roman" w:hAnsi="Times New Roman" w:cs="Times New Roman"/>
          <w:sz w:val="24"/>
          <w:szCs w:val="24"/>
        </w:rPr>
        <w:t xml:space="preserve">, the USACE is proposing to revert back to the this protocol </w:t>
      </w:r>
      <w:r w:rsidR="000B1661">
        <w:rPr>
          <w:rFonts w:ascii="Times New Roman" w:hAnsi="Times New Roman" w:cs="Times New Roman"/>
          <w:sz w:val="24"/>
          <w:szCs w:val="24"/>
        </w:rPr>
        <w:t xml:space="preserve">in 2016 </w:t>
      </w:r>
      <w:r>
        <w:rPr>
          <w:rFonts w:ascii="Times New Roman" w:hAnsi="Times New Roman" w:cs="Times New Roman"/>
          <w:sz w:val="24"/>
          <w:szCs w:val="24"/>
        </w:rPr>
        <w:t xml:space="preserve">(described in Attachment 5) to move all natural origin (unclipped) adult spring Chinook salmon above Cougar Dam that return to the fish facility before September 1.  Thereafter, fish will be recycled downstream unless they return again to the facility and will be transported and released above Cougar Dam.  </w:t>
      </w:r>
    </w:p>
    <w:p w:rsidR="002D4DC2" w:rsidRDefault="002D4DC2" w:rsidP="00B43BDE">
      <w:pPr>
        <w:pStyle w:val="PlainText"/>
        <w:rPr>
          <w:rFonts w:ascii="Times New Roman" w:hAnsi="Times New Roman" w:cs="Times New Roman"/>
          <w:sz w:val="24"/>
          <w:szCs w:val="24"/>
        </w:rPr>
      </w:pPr>
    </w:p>
    <w:p w:rsidR="007417D9" w:rsidRDefault="007417D9" w:rsidP="00B43BDE">
      <w:pPr>
        <w:pStyle w:val="PlainText"/>
        <w:rPr>
          <w:rFonts w:ascii="Times New Roman" w:hAnsi="Times New Roman" w:cs="Times New Roman"/>
          <w:sz w:val="24"/>
          <w:szCs w:val="24"/>
        </w:rPr>
      </w:pPr>
      <w:r>
        <w:rPr>
          <w:rFonts w:ascii="Times New Roman" w:hAnsi="Times New Roman" w:cs="Times New Roman"/>
          <w:sz w:val="24"/>
          <w:szCs w:val="24"/>
        </w:rPr>
        <w:t>[Attachments 1 and 4 are documents provided by ODFW and NMFS and provide additional context]</w:t>
      </w:r>
    </w:p>
    <w:p w:rsidR="0061258A" w:rsidRDefault="0061258A" w:rsidP="00B43BDE">
      <w:pPr>
        <w:pStyle w:val="PlainText"/>
        <w:rPr>
          <w:rFonts w:ascii="Times New Roman" w:hAnsi="Times New Roman" w:cs="Times New Roman"/>
          <w:sz w:val="24"/>
          <w:szCs w:val="24"/>
        </w:rPr>
      </w:pPr>
    </w:p>
    <w:p w:rsidR="0061258A" w:rsidRDefault="0061258A" w:rsidP="00B43BDE">
      <w:pPr>
        <w:pStyle w:val="PlainText"/>
        <w:rPr>
          <w:rFonts w:ascii="Times New Roman" w:hAnsi="Times New Roman" w:cs="Times New Roman"/>
          <w:sz w:val="24"/>
          <w:szCs w:val="24"/>
        </w:rPr>
      </w:pPr>
    </w:p>
    <w:p w:rsidR="00FB49B4" w:rsidRDefault="00FB49B4" w:rsidP="00B43BDE">
      <w:pPr>
        <w:pStyle w:val="PlainText"/>
        <w:rPr>
          <w:rFonts w:ascii="Times New Roman" w:hAnsi="Times New Roman" w:cs="Times New Roman"/>
          <w:sz w:val="24"/>
          <w:szCs w:val="24"/>
        </w:rPr>
      </w:pPr>
      <w:r>
        <w:rPr>
          <w:noProof/>
        </w:rPr>
        <w:drawing>
          <wp:inline distT="0" distB="0" distL="0" distR="0">
            <wp:extent cx="4914900" cy="3352800"/>
            <wp:effectExtent l="0" t="0" r="0" b="0"/>
            <wp:docPr id="1" name="Picture 1" descr="cid:image001.jpg@01D19586.D5260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19586.D52605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914900" cy="3352800"/>
                    </a:xfrm>
                    <a:prstGeom prst="rect">
                      <a:avLst/>
                    </a:prstGeom>
                    <a:noFill/>
                    <a:ln>
                      <a:noFill/>
                    </a:ln>
                  </pic:spPr>
                </pic:pic>
              </a:graphicData>
            </a:graphic>
          </wp:inline>
        </w:drawing>
      </w:r>
      <w:r>
        <w:rPr>
          <w:rFonts w:ascii="Times New Roman" w:hAnsi="Times New Roman" w:cs="Times New Roman"/>
          <w:sz w:val="24"/>
          <w:szCs w:val="24"/>
        </w:rPr>
        <w:t xml:space="preserve"> </w:t>
      </w:r>
    </w:p>
    <w:p w:rsidR="00FB49B4" w:rsidRDefault="00FB49B4" w:rsidP="00B43BDE">
      <w:pPr>
        <w:pStyle w:val="PlainText"/>
        <w:rPr>
          <w:rFonts w:ascii="Times New Roman" w:hAnsi="Times New Roman" w:cs="Times New Roman"/>
          <w:sz w:val="24"/>
          <w:szCs w:val="24"/>
        </w:rPr>
      </w:pPr>
      <w:r>
        <w:rPr>
          <w:rFonts w:ascii="Times New Roman" w:hAnsi="Times New Roman" w:cs="Times New Roman"/>
          <w:sz w:val="24"/>
          <w:szCs w:val="24"/>
        </w:rPr>
        <w:t>Figure</w:t>
      </w:r>
      <w:r w:rsidR="00911D8E">
        <w:rPr>
          <w:rFonts w:ascii="Times New Roman" w:hAnsi="Times New Roman" w:cs="Times New Roman"/>
          <w:sz w:val="24"/>
          <w:szCs w:val="24"/>
        </w:rPr>
        <w:t xml:space="preserve"> 1</w:t>
      </w:r>
      <w:r>
        <w:rPr>
          <w:rFonts w:ascii="Times New Roman" w:hAnsi="Times New Roman" w:cs="Times New Roman"/>
          <w:sz w:val="24"/>
          <w:szCs w:val="24"/>
        </w:rPr>
        <w:t>.  Results of pedigree analyses in the McKenzie River Basin of spring Chinook salmon produced above and below Cougar Dam (</w:t>
      </w:r>
      <w:proofErr w:type="spellStart"/>
      <w:r>
        <w:rPr>
          <w:rFonts w:ascii="Times New Roman" w:hAnsi="Times New Roman" w:cs="Times New Roman"/>
          <w:sz w:val="24"/>
          <w:szCs w:val="24"/>
        </w:rPr>
        <w:t>Sard</w:t>
      </w:r>
      <w:proofErr w:type="spellEnd"/>
      <w:r>
        <w:rPr>
          <w:rFonts w:ascii="Times New Roman" w:hAnsi="Times New Roman" w:cs="Times New Roman"/>
          <w:sz w:val="24"/>
          <w:szCs w:val="24"/>
        </w:rPr>
        <w:t xml:space="preserve"> pr</w:t>
      </w:r>
      <w:r w:rsidR="00B74AC9">
        <w:rPr>
          <w:rFonts w:ascii="Times New Roman" w:hAnsi="Times New Roman" w:cs="Times New Roman"/>
          <w:sz w:val="24"/>
          <w:szCs w:val="24"/>
        </w:rPr>
        <w:t xml:space="preserve">esentation, Willamette Science </w:t>
      </w:r>
      <w:r>
        <w:rPr>
          <w:rFonts w:ascii="Times New Roman" w:hAnsi="Times New Roman" w:cs="Times New Roman"/>
          <w:sz w:val="24"/>
          <w:szCs w:val="24"/>
        </w:rPr>
        <w:t xml:space="preserve">Review 2016).  </w:t>
      </w:r>
    </w:p>
    <w:p w:rsidR="00911D8E" w:rsidRDefault="00911D8E"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985148" w:rsidRDefault="00985148"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094620" w:rsidRDefault="00094620"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AF3D8E" w:rsidRDefault="00AF3D8E" w:rsidP="00B43BDE">
      <w:pPr>
        <w:pStyle w:val="PlainText"/>
        <w:rPr>
          <w:rFonts w:ascii="Times New Roman" w:hAnsi="Times New Roman" w:cs="Times New Roman"/>
          <w:sz w:val="24"/>
          <w:szCs w:val="24"/>
        </w:rPr>
      </w:pPr>
    </w:p>
    <w:p w:rsidR="00AF3D8E" w:rsidRDefault="00AF3D8E" w:rsidP="00B43BDE">
      <w:pPr>
        <w:pStyle w:val="PlainText"/>
        <w:rPr>
          <w:rFonts w:ascii="Times New Roman" w:hAnsi="Times New Roman" w:cs="Times New Roman"/>
          <w:sz w:val="24"/>
          <w:szCs w:val="24"/>
        </w:rPr>
      </w:pPr>
    </w:p>
    <w:p w:rsidR="00911D8E" w:rsidRDefault="00911D8E"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Table 1.  Natural origin spring Chinook immigrants and fish </w:t>
      </w:r>
      <w:proofErr w:type="spellStart"/>
      <w:r>
        <w:rPr>
          <w:rFonts w:ascii="Times New Roman" w:hAnsi="Times New Roman" w:cs="Times New Roman"/>
          <w:sz w:val="24"/>
          <w:szCs w:val="24"/>
        </w:rPr>
        <w:t>outplanted</w:t>
      </w:r>
      <w:proofErr w:type="spellEnd"/>
      <w:r>
        <w:rPr>
          <w:rFonts w:ascii="Times New Roman" w:hAnsi="Times New Roman" w:cs="Times New Roman"/>
          <w:sz w:val="24"/>
          <w:szCs w:val="24"/>
        </w:rPr>
        <w:t xml:space="preserve"> above Cougar Dam from 2013-2015</w:t>
      </w:r>
      <w:r w:rsidR="00A60B3D">
        <w:rPr>
          <w:rFonts w:ascii="Times New Roman" w:hAnsi="Times New Roman" w:cs="Times New Roman"/>
          <w:sz w:val="24"/>
          <w:szCs w:val="24"/>
        </w:rPr>
        <w:t xml:space="preserve"> (</w:t>
      </w:r>
      <w:r w:rsidR="00400CAA">
        <w:rPr>
          <w:rFonts w:ascii="Times New Roman" w:hAnsi="Times New Roman" w:cs="Times New Roman"/>
          <w:sz w:val="24"/>
          <w:szCs w:val="24"/>
        </w:rPr>
        <w:t xml:space="preserve">Personal Communication, Nick </w:t>
      </w:r>
      <w:proofErr w:type="spellStart"/>
      <w:r w:rsidR="00400CAA">
        <w:rPr>
          <w:rFonts w:ascii="Times New Roman" w:hAnsi="Times New Roman" w:cs="Times New Roman"/>
          <w:sz w:val="24"/>
          <w:szCs w:val="24"/>
        </w:rPr>
        <w:t>Sard</w:t>
      </w:r>
      <w:proofErr w:type="spellEnd"/>
      <w:r w:rsidR="00400CAA">
        <w:rPr>
          <w:rFonts w:ascii="Times New Roman" w:hAnsi="Times New Roman" w:cs="Times New Roman"/>
          <w:sz w:val="24"/>
          <w:szCs w:val="24"/>
        </w:rPr>
        <w:t>, Oregon State University, April 2016</w:t>
      </w:r>
      <w:r w:rsidR="00A60B3D">
        <w:rPr>
          <w:rFonts w:ascii="Times New Roman" w:hAnsi="Times New Roman" w:cs="Times New Roman"/>
          <w:sz w:val="24"/>
          <w:szCs w:val="24"/>
        </w:rPr>
        <w:t>)</w:t>
      </w:r>
      <w:r>
        <w:rPr>
          <w:rFonts w:ascii="Times New Roman" w:hAnsi="Times New Roman" w:cs="Times New Roman"/>
          <w:sz w:val="24"/>
          <w:szCs w:val="24"/>
        </w:rPr>
        <w:t xml:space="preserve">.  </w:t>
      </w:r>
    </w:p>
    <w:tbl>
      <w:tblPr>
        <w:tblW w:w="4925" w:type="dxa"/>
        <w:tblCellMar>
          <w:left w:w="0" w:type="dxa"/>
          <w:right w:w="0" w:type="dxa"/>
        </w:tblCellMar>
        <w:tblLook w:val="04A0" w:firstRow="1" w:lastRow="0" w:firstColumn="1" w:lastColumn="0" w:noHBand="0" w:noVBand="1"/>
      </w:tblPr>
      <w:tblGrid>
        <w:gridCol w:w="976"/>
        <w:gridCol w:w="1656"/>
        <w:gridCol w:w="1503"/>
        <w:gridCol w:w="976"/>
      </w:tblGrid>
      <w:tr w:rsidR="00911D8E" w:rsidTr="00911D8E">
        <w:trPr>
          <w:trHeight w:val="300"/>
        </w:trPr>
        <w:tc>
          <w:tcPr>
            <w:tcW w:w="976" w:type="dxa"/>
            <w:tcBorders>
              <w:top w:val="nil"/>
              <w:left w:val="nil"/>
              <w:bottom w:val="single" w:sz="8" w:space="0" w:color="auto"/>
              <w:right w:val="nil"/>
            </w:tcBorders>
            <w:noWrap/>
            <w:tcMar>
              <w:top w:w="0" w:type="dxa"/>
              <w:left w:w="108" w:type="dxa"/>
              <w:bottom w:w="0" w:type="dxa"/>
              <w:right w:w="108" w:type="dxa"/>
            </w:tcMar>
            <w:vAlign w:val="center"/>
          </w:tcPr>
          <w:p w:rsidR="00911D8E" w:rsidRDefault="00911D8E">
            <w:pPr>
              <w:jc w:val="center"/>
              <w:rPr>
                <w:b/>
                <w:bCs/>
                <w:color w:val="000000"/>
                <w:sz w:val="22"/>
                <w:szCs w:val="22"/>
              </w:rPr>
            </w:pPr>
          </w:p>
        </w:tc>
        <w:tc>
          <w:tcPr>
            <w:tcW w:w="3949" w:type="dxa"/>
            <w:gridSpan w:val="3"/>
            <w:tcBorders>
              <w:top w:val="nil"/>
              <w:left w:val="nil"/>
              <w:bottom w:val="single" w:sz="8" w:space="0" w:color="auto"/>
              <w:right w:val="nil"/>
            </w:tcBorders>
            <w:noWrap/>
            <w:tcMar>
              <w:top w:w="0" w:type="dxa"/>
              <w:left w:w="108" w:type="dxa"/>
              <w:bottom w:w="0" w:type="dxa"/>
              <w:right w:w="108" w:type="dxa"/>
            </w:tcMar>
            <w:vAlign w:val="center"/>
            <w:hideMark/>
          </w:tcPr>
          <w:p w:rsidR="00911D8E" w:rsidRDefault="00911D8E">
            <w:pPr>
              <w:jc w:val="center"/>
              <w:rPr>
                <w:b/>
                <w:bCs/>
                <w:color w:val="000000"/>
              </w:rPr>
            </w:pPr>
            <w:r>
              <w:rPr>
                <w:b/>
                <w:bCs/>
                <w:color w:val="000000"/>
              </w:rPr>
              <w:t>Unmarked transported above Cougar</w:t>
            </w:r>
          </w:p>
        </w:tc>
      </w:tr>
      <w:tr w:rsidR="00911D8E" w:rsidTr="00911D8E">
        <w:trPr>
          <w:trHeight w:val="300"/>
        </w:trPr>
        <w:tc>
          <w:tcPr>
            <w:tcW w:w="976" w:type="dxa"/>
            <w:tcBorders>
              <w:top w:val="nil"/>
              <w:left w:val="nil"/>
              <w:bottom w:val="single" w:sz="8" w:space="0" w:color="auto"/>
              <w:right w:val="nil"/>
            </w:tcBorders>
            <w:noWrap/>
            <w:tcMar>
              <w:top w:w="0" w:type="dxa"/>
              <w:left w:w="108" w:type="dxa"/>
              <w:bottom w:w="0" w:type="dxa"/>
              <w:right w:w="108" w:type="dxa"/>
            </w:tcMar>
            <w:vAlign w:val="center"/>
            <w:hideMark/>
          </w:tcPr>
          <w:p w:rsidR="00911D8E" w:rsidRDefault="00911D8E">
            <w:pPr>
              <w:jc w:val="center"/>
              <w:rPr>
                <w:b/>
                <w:bCs/>
                <w:color w:val="000000"/>
              </w:rPr>
            </w:pPr>
            <w:r>
              <w:rPr>
                <w:b/>
                <w:bCs/>
                <w:color w:val="000000"/>
              </w:rPr>
              <w:t>Year</w:t>
            </w:r>
          </w:p>
        </w:tc>
        <w:tc>
          <w:tcPr>
            <w:tcW w:w="1656" w:type="dxa"/>
            <w:tcBorders>
              <w:top w:val="nil"/>
              <w:left w:val="nil"/>
              <w:bottom w:val="single" w:sz="8" w:space="0" w:color="auto"/>
              <w:right w:val="nil"/>
            </w:tcBorders>
            <w:noWrap/>
            <w:tcMar>
              <w:top w:w="0" w:type="dxa"/>
              <w:left w:w="108" w:type="dxa"/>
              <w:bottom w:w="0" w:type="dxa"/>
              <w:right w:w="108" w:type="dxa"/>
            </w:tcMar>
            <w:vAlign w:val="center"/>
            <w:hideMark/>
          </w:tcPr>
          <w:p w:rsidR="00911D8E" w:rsidRDefault="00911D8E">
            <w:pPr>
              <w:jc w:val="center"/>
              <w:rPr>
                <w:b/>
                <w:bCs/>
                <w:color w:val="000000"/>
              </w:rPr>
            </w:pPr>
            <w:r>
              <w:rPr>
                <w:b/>
                <w:bCs/>
                <w:color w:val="000000"/>
              </w:rPr>
              <w:t>NOR immigrants</w:t>
            </w:r>
          </w:p>
        </w:tc>
        <w:tc>
          <w:tcPr>
            <w:tcW w:w="1317" w:type="dxa"/>
            <w:tcBorders>
              <w:top w:val="nil"/>
              <w:left w:val="nil"/>
              <w:bottom w:val="single" w:sz="8" w:space="0" w:color="auto"/>
              <w:right w:val="nil"/>
            </w:tcBorders>
            <w:noWrap/>
            <w:tcMar>
              <w:top w:w="0" w:type="dxa"/>
              <w:left w:w="108" w:type="dxa"/>
              <w:bottom w:w="0" w:type="dxa"/>
              <w:right w:w="108" w:type="dxa"/>
            </w:tcMar>
            <w:vAlign w:val="bottom"/>
            <w:hideMark/>
          </w:tcPr>
          <w:p w:rsidR="00911D8E" w:rsidRDefault="00911D8E">
            <w:pPr>
              <w:rPr>
                <w:b/>
                <w:bCs/>
                <w:color w:val="000000"/>
              </w:rPr>
            </w:pPr>
            <w:proofErr w:type="spellStart"/>
            <w:r>
              <w:rPr>
                <w:b/>
                <w:bCs/>
                <w:color w:val="000000"/>
              </w:rPr>
              <w:t>Reintro.Fish</w:t>
            </w:r>
            <w:proofErr w:type="spellEnd"/>
          </w:p>
        </w:tc>
        <w:tc>
          <w:tcPr>
            <w:tcW w:w="976" w:type="dxa"/>
            <w:noWrap/>
            <w:tcMar>
              <w:top w:w="0" w:type="dxa"/>
              <w:left w:w="108" w:type="dxa"/>
              <w:bottom w:w="0" w:type="dxa"/>
              <w:right w:w="108" w:type="dxa"/>
            </w:tcMar>
            <w:vAlign w:val="bottom"/>
            <w:hideMark/>
          </w:tcPr>
          <w:p w:rsidR="00911D8E" w:rsidRDefault="00911D8E">
            <w:pPr>
              <w:jc w:val="right"/>
              <w:rPr>
                <w:b/>
                <w:bCs/>
                <w:color w:val="000000"/>
              </w:rPr>
            </w:pPr>
            <w:r>
              <w:rPr>
                <w:b/>
                <w:bCs/>
                <w:color w:val="000000"/>
              </w:rPr>
              <w:t>Total</w:t>
            </w:r>
          </w:p>
        </w:tc>
      </w:tr>
      <w:tr w:rsidR="00911D8E" w:rsidTr="00911D8E">
        <w:trPr>
          <w:trHeight w:val="300"/>
        </w:trPr>
        <w:tc>
          <w:tcPr>
            <w:tcW w:w="976" w:type="dxa"/>
            <w:noWrap/>
            <w:tcMar>
              <w:top w:w="0" w:type="dxa"/>
              <w:left w:w="108" w:type="dxa"/>
              <w:bottom w:w="0" w:type="dxa"/>
              <w:right w:w="108" w:type="dxa"/>
            </w:tcMar>
            <w:vAlign w:val="center"/>
            <w:hideMark/>
          </w:tcPr>
          <w:p w:rsidR="00911D8E" w:rsidRDefault="00911D8E">
            <w:pPr>
              <w:jc w:val="center"/>
              <w:rPr>
                <w:color w:val="000000"/>
              </w:rPr>
            </w:pPr>
            <w:r>
              <w:rPr>
                <w:color w:val="000000"/>
              </w:rPr>
              <w:t>2013</w:t>
            </w:r>
          </w:p>
        </w:tc>
        <w:tc>
          <w:tcPr>
            <w:tcW w:w="1656" w:type="dxa"/>
            <w:noWrap/>
            <w:tcMar>
              <w:top w:w="0" w:type="dxa"/>
              <w:left w:w="108" w:type="dxa"/>
              <w:bottom w:w="0" w:type="dxa"/>
              <w:right w:w="108" w:type="dxa"/>
            </w:tcMar>
            <w:vAlign w:val="center"/>
            <w:hideMark/>
          </w:tcPr>
          <w:p w:rsidR="00911D8E" w:rsidRDefault="00911D8E">
            <w:pPr>
              <w:jc w:val="center"/>
              <w:rPr>
                <w:color w:val="000000"/>
              </w:rPr>
            </w:pPr>
            <w:r>
              <w:rPr>
                <w:color w:val="000000"/>
              </w:rPr>
              <w:t>29</w:t>
            </w:r>
          </w:p>
        </w:tc>
        <w:tc>
          <w:tcPr>
            <w:tcW w:w="1317" w:type="dxa"/>
            <w:noWrap/>
            <w:tcMar>
              <w:top w:w="0" w:type="dxa"/>
              <w:left w:w="108" w:type="dxa"/>
              <w:bottom w:w="0" w:type="dxa"/>
              <w:right w:w="108" w:type="dxa"/>
            </w:tcMar>
            <w:vAlign w:val="center"/>
            <w:hideMark/>
          </w:tcPr>
          <w:p w:rsidR="00911D8E" w:rsidRDefault="00911D8E">
            <w:pPr>
              <w:jc w:val="center"/>
              <w:rPr>
                <w:color w:val="000000"/>
              </w:rPr>
            </w:pPr>
            <w:r>
              <w:rPr>
                <w:color w:val="000000"/>
              </w:rPr>
              <w:t>145</w:t>
            </w:r>
          </w:p>
        </w:tc>
        <w:tc>
          <w:tcPr>
            <w:tcW w:w="976" w:type="dxa"/>
            <w:noWrap/>
            <w:tcMar>
              <w:top w:w="0" w:type="dxa"/>
              <w:left w:w="108" w:type="dxa"/>
              <w:bottom w:w="0" w:type="dxa"/>
              <w:right w:w="108" w:type="dxa"/>
            </w:tcMar>
            <w:vAlign w:val="bottom"/>
            <w:hideMark/>
          </w:tcPr>
          <w:p w:rsidR="00911D8E" w:rsidRDefault="00911D8E">
            <w:pPr>
              <w:jc w:val="right"/>
              <w:rPr>
                <w:color w:val="000000"/>
              </w:rPr>
            </w:pPr>
            <w:r>
              <w:rPr>
                <w:color w:val="000000"/>
              </w:rPr>
              <w:t>174</w:t>
            </w:r>
          </w:p>
        </w:tc>
      </w:tr>
      <w:tr w:rsidR="00911D8E" w:rsidTr="00911D8E">
        <w:trPr>
          <w:trHeight w:val="300"/>
        </w:trPr>
        <w:tc>
          <w:tcPr>
            <w:tcW w:w="976" w:type="dxa"/>
            <w:noWrap/>
            <w:tcMar>
              <w:top w:w="0" w:type="dxa"/>
              <w:left w:w="108" w:type="dxa"/>
              <w:bottom w:w="0" w:type="dxa"/>
              <w:right w:w="108" w:type="dxa"/>
            </w:tcMar>
            <w:vAlign w:val="center"/>
            <w:hideMark/>
          </w:tcPr>
          <w:p w:rsidR="00911D8E" w:rsidRDefault="00911D8E">
            <w:pPr>
              <w:jc w:val="center"/>
              <w:rPr>
                <w:color w:val="000000"/>
              </w:rPr>
            </w:pPr>
            <w:r>
              <w:rPr>
                <w:color w:val="000000"/>
              </w:rPr>
              <w:t>2014</w:t>
            </w:r>
          </w:p>
        </w:tc>
        <w:tc>
          <w:tcPr>
            <w:tcW w:w="1656" w:type="dxa"/>
            <w:noWrap/>
            <w:tcMar>
              <w:top w:w="0" w:type="dxa"/>
              <w:left w:w="108" w:type="dxa"/>
              <w:bottom w:w="0" w:type="dxa"/>
              <w:right w:w="108" w:type="dxa"/>
            </w:tcMar>
            <w:vAlign w:val="center"/>
            <w:hideMark/>
          </w:tcPr>
          <w:p w:rsidR="00911D8E" w:rsidRDefault="00911D8E">
            <w:pPr>
              <w:jc w:val="center"/>
              <w:rPr>
                <w:color w:val="000000"/>
              </w:rPr>
            </w:pPr>
            <w:r>
              <w:rPr>
                <w:color w:val="000000"/>
              </w:rPr>
              <w:t>25</w:t>
            </w:r>
          </w:p>
        </w:tc>
        <w:tc>
          <w:tcPr>
            <w:tcW w:w="1317" w:type="dxa"/>
            <w:noWrap/>
            <w:tcMar>
              <w:top w:w="0" w:type="dxa"/>
              <w:left w:w="108" w:type="dxa"/>
              <w:bottom w:w="0" w:type="dxa"/>
              <w:right w:w="108" w:type="dxa"/>
            </w:tcMar>
            <w:vAlign w:val="center"/>
            <w:hideMark/>
          </w:tcPr>
          <w:p w:rsidR="00911D8E" w:rsidRDefault="00911D8E">
            <w:pPr>
              <w:jc w:val="center"/>
              <w:rPr>
                <w:color w:val="000000"/>
              </w:rPr>
            </w:pPr>
            <w:r>
              <w:rPr>
                <w:color w:val="000000"/>
              </w:rPr>
              <w:t>108</w:t>
            </w:r>
          </w:p>
        </w:tc>
        <w:tc>
          <w:tcPr>
            <w:tcW w:w="976" w:type="dxa"/>
            <w:noWrap/>
            <w:tcMar>
              <w:top w:w="0" w:type="dxa"/>
              <w:left w:w="108" w:type="dxa"/>
              <w:bottom w:w="0" w:type="dxa"/>
              <w:right w:w="108" w:type="dxa"/>
            </w:tcMar>
            <w:vAlign w:val="bottom"/>
            <w:hideMark/>
          </w:tcPr>
          <w:p w:rsidR="00911D8E" w:rsidRDefault="00911D8E">
            <w:pPr>
              <w:jc w:val="right"/>
              <w:rPr>
                <w:color w:val="000000"/>
              </w:rPr>
            </w:pPr>
            <w:r>
              <w:rPr>
                <w:color w:val="000000"/>
              </w:rPr>
              <w:t>133</w:t>
            </w:r>
          </w:p>
        </w:tc>
      </w:tr>
      <w:tr w:rsidR="00911D8E" w:rsidTr="00911D8E">
        <w:trPr>
          <w:trHeight w:val="300"/>
        </w:trPr>
        <w:tc>
          <w:tcPr>
            <w:tcW w:w="976" w:type="dxa"/>
            <w:noWrap/>
            <w:tcMar>
              <w:top w:w="0" w:type="dxa"/>
              <w:left w:w="108" w:type="dxa"/>
              <w:bottom w:w="0" w:type="dxa"/>
              <w:right w:w="108" w:type="dxa"/>
            </w:tcMar>
            <w:vAlign w:val="center"/>
            <w:hideMark/>
          </w:tcPr>
          <w:p w:rsidR="00911D8E" w:rsidRDefault="00911D8E">
            <w:pPr>
              <w:jc w:val="center"/>
              <w:rPr>
                <w:color w:val="000000"/>
              </w:rPr>
            </w:pPr>
            <w:r>
              <w:rPr>
                <w:color w:val="000000"/>
              </w:rPr>
              <w:t>2015</w:t>
            </w:r>
          </w:p>
        </w:tc>
        <w:tc>
          <w:tcPr>
            <w:tcW w:w="1656" w:type="dxa"/>
            <w:noWrap/>
            <w:tcMar>
              <w:top w:w="0" w:type="dxa"/>
              <w:left w:w="108" w:type="dxa"/>
              <w:bottom w:w="0" w:type="dxa"/>
              <w:right w:w="108" w:type="dxa"/>
            </w:tcMar>
            <w:vAlign w:val="center"/>
            <w:hideMark/>
          </w:tcPr>
          <w:p w:rsidR="00911D8E" w:rsidRDefault="00911D8E">
            <w:pPr>
              <w:jc w:val="center"/>
              <w:rPr>
                <w:color w:val="000000"/>
              </w:rPr>
            </w:pPr>
            <w:r>
              <w:rPr>
                <w:color w:val="000000"/>
              </w:rPr>
              <w:t>15</w:t>
            </w:r>
          </w:p>
        </w:tc>
        <w:tc>
          <w:tcPr>
            <w:tcW w:w="1317" w:type="dxa"/>
            <w:noWrap/>
            <w:tcMar>
              <w:top w:w="0" w:type="dxa"/>
              <w:left w:w="108" w:type="dxa"/>
              <w:bottom w:w="0" w:type="dxa"/>
              <w:right w:w="108" w:type="dxa"/>
            </w:tcMar>
            <w:vAlign w:val="center"/>
            <w:hideMark/>
          </w:tcPr>
          <w:p w:rsidR="00911D8E" w:rsidRDefault="00911D8E">
            <w:pPr>
              <w:jc w:val="center"/>
              <w:rPr>
                <w:color w:val="000000"/>
              </w:rPr>
            </w:pPr>
            <w:r>
              <w:rPr>
                <w:color w:val="000000"/>
              </w:rPr>
              <w:t>122</w:t>
            </w:r>
          </w:p>
        </w:tc>
        <w:tc>
          <w:tcPr>
            <w:tcW w:w="976" w:type="dxa"/>
            <w:noWrap/>
            <w:tcMar>
              <w:top w:w="0" w:type="dxa"/>
              <w:left w:w="108" w:type="dxa"/>
              <w:bottom w:w="0" w:type="dxa"/>
              <w:right w:w="108" w:type="dxa"/>
            </w:tcMar>
            <w:vAlign w:val="bottom"/>
            <w:hideMark/>
          </w:tcPr>
          <w:p w:rsidR="00911D8E" w:rsidRDefault="00911D8E">
            <w:pPr>
              <w:jc w:val="right"/>
              <w:rPr>
                <w:color w:val="000000"/>
              </w:rPr>
            </w:pPr>
            <w:r>
              <w:rPr>
                <w:color w:val="000000"/>
              </w:rPr>
              <w:t>137</w:t>
            </w:r>
          </w:p>
        </w:tc>
      </w:tr>
    </w:tbl>
    <w:p w:rsidR="00911D8E" w:rsidRDefault="00911D8E"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6676EF" w:rsidRDefault="006676EF" w:rsidP="00B43BDE">
      <w:pPr>
        <w:pStyle w:val="PlainText"/>
        <w:rPr>
          <w:rFonts w:ascii="Times New Roman" w:hAnsi="Times New Roman" w:cs="Times New Roman"/>
          <w:sz w:val="24"/>
          <w:szCs w:val="24"/>
        </w:rPr>
      </w:pPr>
    </w:p>
    <w:p w:rsidR="0049216A" w:rsidRDefault="00A60B3D"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Table 2.  </w:t>
      </w:r>
      <w:r w:rsidR="007B58F7">
        <w:rPr>
          <w:rFonts w:ascii="Times New Roman" w:hAnsi="Times New Roman" w:cs="Times New Roman"/>
          <w:sz w:val="24"/>
          <w:szCs w:val="24"/>
        </w:rPr>
        <w:t>Summary information on the percent of unassigned</w:t>
      </w:r>
      <w:r w:rsidR="00F00F1A">
        <w:rPr>
          <w:rFonts w:ascii="Times New Roman" w:hAnsi="Times New Roman" w:cs="Times New Roman"/>
          <w:sz w:val="24"/>
          <w:szCs w:val="24"/>
        </w:rPr>
        <w:t xml:space="preserve">, </w:t>
      </w:r>
      <w:r w:rsidR="007B58F7">
        <w:rPr>
          <w:rFonts w:ascii="Times New Roman" w:hAnsi="Times New Roman" w:cs="Times New Roman"/>
          <w:sz w:val="24"/>
          <w:szCs w:val="24"/>
        </w:rPr>
        <w:t>unmarked adult McKenzie spring Chinook salmon entering Cougar Trap before and after September 1</w:t>
      </w:r>
      <w:r w:rsidR="007B58F7" w:rsidRPr="002D4DC2">
        <w:rPr>
          <w:rFonts w:ascii="Times New Roman" w:hAnsi="Times New Roman" w:cs="Times New Roman"/>
          <w:sz w:val="24"/>
          <w:szCs w:val="24"/>
          <w:vertAlign w:val="superscript"/>
        </w:rPr>
        <w:t>st</w:t>
      </w:r>
      <w:r w:rsidR="007B58F7">
        <w:rPr>
          <w:rFonts w:ascii="Times New Roman" w:hAnsi="Times New Roman" w:cs="Times New Roman"/>
          <w:sz w:val="24"/>
          <w:szCs w:val="24"/>
        </w:rPr>
        <w:t xml:space="preserve">, and transported above Cougar Dam, as a percent of the total estimated </w:t>
      </w:r>
      <w:r w:rsidR="00F00F1A">
        <w:rPr>
          <w:rFonts w:ascii="Times New Roman" w:hAnsi="Times New Roman" w:cs="Times New Roman"/>
          <w:sz w:val="24"/>
          <w:szCs w:val="24"/>
        </w:rPr>
        <w:t xml:space="preserve">population of </w:t>
      </w:r>
      <w:r w:rsidR="007B58F7">
        <w:rPr>
          <w:rFonts w:ascii="Times New Roman" w:hAnsi="Times New Roman" w:cs="Times New Roman"/>
          <w:sz w:val="24"/>
          <w:szCs w:val="24"/>
        </w:rPr>
        <w:t xml:space="preserve">natural origin </w:t>
      </w:r>
      <w:proofErr w:type="spellStart"/>
      <w:r w:rsidR="007B58F7">
        <w:rPr>
          <w:rFonts w:ascii="Times New Roman" w:hAnsi="Times New Roman" w:cs="Times New Roman"/>
          <w:sz w:val="24"/>
          <w:szCs w:val="24"/>
        </w:rPr>
        <w:t>spawner</w:t>
      </w:r>
      <w:r w:rsidR="00F00F1A">
        <w:rPr>
          <w:rFonts w:ascii="Times New Roman" w:hAnsi="Times New Roman" w:cs="Times New Roman"/>
          <w:sz w:val="24"/>
          <w:szCs w:val="24"/>
        </w:rPr>
        <w:t>s</w:t>
      </w:r>
      <w:proofErr w:type="spellEnd"/>
      <w:r w:rsidR="007B58F7">
        <w:rPr>
          <w:rFonts w:ascii="Times New Roman" w:hAnsi="Times New Roman" w:cs="Times New Roman"/>
          <w:sz w:val="24"/>
          <w:szCs w:val="24"/>
        </w:rPr>
        <w:t xml:space="preserve"> in the McKenzie </w:t>
      </w:r>
      <w:r w:rsidR="00F00F1A">
        <w:rPr>
          <w:rFonts w:ascii="Times New Roman" w:hAnsi="Times New Roman" w:cs="Times New Roman"/>
          <w:sz w:val="24"/>
          <w:szCs w:val="24"/>
        </w:rPr>
        <w:t>(</w:t>
      </w:r>
      <w:r w:rsidR="007B58F7">
        <w:rPr>
          <w:rFonts w:ascii="Times New Roman" w:hAnsi="Times New Roman" w:cs="Times New Roman"/>
          <w:sz w:val="24"/>
          <w:szCs w:val="24"/>
        </w:rPr>
        <w:t xml:space="preserve">excluding </w:t>
      </w:r>
      <w:proofErr w:type="spellStart"/>
      <w:r w:rsidR="00F00F1A">
        <w:rPr>
          <w:rFonts w:ascii="Times New Roman" w:hAnsi="Times New Roman" w:cs="Times New Roman"/>
          <w:sz w:val="24"/>
          <w:szCs w:val="24"/>
        </w:rPr>
        <w:t>spawners</w:t>
      </w:r>
      <w:proofErr w:type="spellEnd"/>
      <w:r w:rsidR="00F00F1A">
        <w:rPr>
          <w:rFonts w:ascii="Times New Roman" w:hAnsi="Times New Roman" w:cs="Times New Roman"/>
          <w:sz w:val="24"/>
          <w:szCs w:val="24"/>
        </w:rPr>
        <w:t xml:space="preserve"> </w:t>
      </w:r>
      <w:r w:rsidR="007B58F7">
        <w:rPr>
          <w:rFonts w:ascii="Times New Roman" w:hAnsi="Times New Roman" w:cs="Times New Roman"/>
          <w:sz w:val="24"/>
          <w:szCs w:val="24"/>
        </w:rPr>
        <w:t>above Cougar Dam</w:t>
      </w:r>
      <w:r w:rsidR="00F00F1A">
        <w:rPr>
          <w:rFonts w:ascii="Times New Roman" w:hAnsi="Times New Roman" w:cs="Times New Roman"/>
          <w:sz w:val="24"/>
          <w:szCs w:val="24"/>
        </w:rPr>
        <w:t>)</w:t>
      </w:r>
      <w:r>
        <w:rPr>
          <w:rFonts w:ascii="Times New Roman" w:hAnsi="Times New Roman" w:cs="Times New Roman"/>
          <w:sz w:val="24"/>
          <w:szCs w:val="24"/>
        </w:rPr>
        <w:t>.</w:t>
      </w:r>
      <w:r w:rsidR="007B58F7">
        <w:rPr>
          <w:rFonts w:ascii="Times New Roman" w:hAnsi="Times New Roman" w:cs="Times New Roman"/>
          <w:sz w:val="24"/>
          <w:szCs w:val="24"/>
        </w:rPr>
        <w:t xml:space="preserve">  Unassigned refers to </w:t>
      </w:r>
      <w:r w:rsidR="00F00F1A">
        <w:rPr>
          <w:rFonts w:ascii="Times New Roman" w:hAnsi="Times New Roman" w:cs="Times New Roman"/>
          <w:sz w:val="24"/>
          <w:szCs w:val="24"/>
        </w:rPr>
        <w:t xml:space="preserve">adult progeny </w:t>
      </w:r>
      <w:r w:rsidR="004E6709">
        <w:rPr>
          <w:rFonts w:ascii="Times New Roman" w:hAnsi="Times New Roman" w:cs="Times New Roman"/>
          <w:sz w:val="24"/>
          <w:szCs w:val="24"/>
        </w:rPr>
        <w:t>that did not assign</w:t>
      </w:r>
      <w:r w:rsidR="00F00F1A">
        <w:rPr>
          <w:rFonts w:ascii="Times New Roman" w:hAnsi="Times New Roman" w:cs="Times New Roman"/>
          <w:sz w:val="24"/>
          <w:szCs w:val="24"/>
        </w:rPr>
        <w:t xml:space="preserve"> to parents </w:t>
      </w:r>
      <w:r w:rsidR="004E6709">
        <w:rPr>
          <w:rFonts w:ascii="Times New Roman" w:hAnsi="Times New Roman" w:cs="Times New Roman"/>
          <w:sz w:val="24"/>
          <w:szCs w:val="24"/>
        </w:rPr>
        <w:t xml:space="preserve">which </w:t>
      </w:r>
      <w:r w:rsidR="00F00F1A">
        <w:rPr>
          <w:rFonts w:ascii="Times New Roman" w:hAnsi="Times New Roman" w:cs="Times New Roman"/>
          <w:sz w:val="24"/>
          <w:szCs w:val="24"/>
        </w:rPr>
        <w:t>spawned</w:t>
      </w:r>
      <w:r w:rsidR="007B58F7">
        <w:rPr>
          <w:rFonts w:ascii="Times New Roman" w:hAnsi="Times New Roman" w:cs="Times New Roman"/>
          <w:sz w:val="24"/>
          <w:szCs w:val="24"/>
        </w:rPr>
        <w:t xml:space="preserve"> above Cougar Dam</w:t>
      </w:r>
      <w:r w:rsidR="004E6709">
        <w:rPr>
          <w:rFonts w:ascii="Times New Roman" w:hAnsi="Times New Roman" w:cs="Times New Roman"/>
          <w:sz w:val="24"/>
          <w:szCs w:val="24"/>
        </w:rPr>
        <w:t xml:space="preserve"> using genetic pedigree analysis</w:t>
      </w:r>
      <w:r w:rsidR="007B58F7">
        <w:rPr>
          <w:rFonts w:ascii="Times New Roman" w:hAnsi="Times New Roman" w:cs="Times New Roman"/>
          <w:sz w:val="24"/>
          <w:szCs w:val="24"/>
        </w:rPr>
        <w:t>.</w:t>
      </w:r>
    </w:p>
    <w:p w:rsidR="00A60B3D" w:rsidRDefault="00A60B3D" w:rsidP="00B43BDE">
      <w:pPr>
        <w:pStyle w:val="PlainText"/>
        <w:rPr>
          <w:rFonts w:ascii="Times New Roman" w:hAnsi="Times New Roman" w:cs="Times New Roman"/>
          <w:sz w:val="24"/>
          <w:szCs w:val="24"/>
        </w:rPr>
      </w:pPr>
    </w:p>
    <w:tbl>
      <w:tblPr>
        <w:tblW w:w="8705" w:type="dxa"/>
        <w:tblInd w:w="-10" w:type="dxa"/>
        <w:tblCellMar>
          <w:left w:w="0" w:type="dxa"/>
          <w:right w:w="0" w:type="dxa"/>
        </w:tblCellMar>
        <w:tblLook w:val="04A0" w:firstRow="1" w:lastRow="0" w:firstColumn="1" w:lastColumn="0" w:noHBand="0" w:noVBand="1"/>
      </w:tblPr>
      <w:tblGrid>
        <w:gridCol w:w="844"/>
        <w:gridCol w:w="1654"/>
        <w:gridCol w:w="1260"/>
        <w:gridCol w:w="1182"/>
        <w:gridCol w:w="1654"/>
        <w:gridCol w:w="2111"/>
      </w:tblGrid>
      <w:tr w:rsidR="00A60B3D" w:rsidTr="002D4DC2">
        <w:trPr>
          <w:trHeight w:val="446"/>
        </w:trPr>
        <w:tc>
          <w:tcPr>
            <w:tcW w:w="844" w:type="dxa"/>
            <w:vMerge w:val="restart"/>
            <w:tcBorders>
              <w:top w:val="single" w:sz="24" w:space="0" w:color="767171"/>
              <w:left w:val="single" w:sz="8" w:space="0" w:color="FFFFFF"/>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sz w:val="22"/>
                <w:szCs w:val="22"/>
              </w:rPr>
            </w:pPr>
            <w:r>
              <w:t>Year</w:t>
            </w:r>
          </w:p>
        </w:tc>
        <w:tc>
          <w:tcPr>
            <w:tcW w:w="1654" w:type="dxa"/>
            <w:vMerge w:val="restart"/>
            <w:tcBorders>
              <w:top w:val="single" w:sz="24" w:space="0" w:color="767171"/>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McKenzie NOS (excluding above CGR)</w:t>
            </w:r>
            <w:r w:rsidR="00400CAA" w:rsidRPr="002D4DC2">
              <w:rPr>
                <w:vertAlign w:val="superscript"/>
              </w:rPr>
              <w:t>1</w:t>
            </w:r>
          </w:p>
        </w:tc>
        <w:tc>
          <w:tcPr>
            <w:tcW w:w="2442" w:type="dxa"/>
            <w:gridSpan w:val="2"/>
            <w:tcBorders>
              <w:top w:val="single" w:sz="24" w:space="0" w:color="767171"/>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r>
              <w:t>Unassigned</w:t>
            </w:r>
            <w:r w:rsidR="004E6709" w:rsidRPr="009B742B">
              <w:rPr>
                <w:vertAlign w:val="superscript"/>
              </w:rPr>
              <w:t>2</w:t>
            </w:r>
            <w:r>
              <w:t xml:space="preserve"> trapped as a % of NOS</w:t>
            </w:r>
            <w:r w:rsidR="004E6709" w:rsidRPr="002D4DC2">
              <w:rPr>
                <w:vertAlign w:val="superscript"/>
              </w:rPr>
              <w:t>2</w:t>
            </w:r>
          </w:p>
        </w:tc>
        <w:tc>
          <w:tcPr>
            <w:tcW w:w="1654" w:type="dxa"/>
            <w:vMerge w:val="restart"/>
            <w:tcBorders>
              <w:top w:val="single" w:sz="24" w:space="0" w:color="767171"/>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Unassigned</w:t>
            </w:r>
            <w:r w:rsidR="004E6709" w:rsidRPr="009B742B">
              <w:rPr>
                <w:vertAlign w:val="superscript"/>
              </w:rPr>
              <w:t>2</w:t>
            </w:r>
            <w:r>
              <w:t xml:space="preserve"> transported above CGR as a % of NOS</w:t>
            </w:r>
            <w:r w:rsidR="004E6709">
              <w:rPr>
                <w:vertAlign w:val="superscript"/>
              </w:rPr>
              <w:t>3</w:t>
            </w:r>
          </w:p>
        </w:tc>
        <w:tc>
          <w:tcPr>
            <w:tcW w:w="2111" w:type="dxa"/>
            <w:vMerge w:val="restart"/>
            <w:tcBorders>
              <w:top w:val="single" w:sz="24" w:space="0" w:color="767171"/>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Recycling?</w:t>
            </w:r>
          </w:p>
        </w:tc>
      </w:tr>
      <w:tr w:rsidR="00A60B3D" w:rsidTr="002D4DC2">
        <w:trPr>
          <w:trHeight w:val="849"/>
        </w:trPr>
        <w:tc>
          <w:tcPr>
            <w:tcW w:w="844" w:type="dxa"/>
            <w:vMerge/>
            <w:tcBorders>
              <w:top w:val="single" w:sz="24" w:space="0" w:color="767171"/>
              <w:left w:val="single" w:sz="8" w:space="0" w:color="FFFFFF"/>
              <w:bottom w:val="single" w:sz="8" w:space="0" w:color="FFFFFF"/>
              <w:right w:val="single" w:sz="8" w:space="0" w:color="FFFFFF"/>
            </w:tcBorders>
            <w:vAlign w:val="center"/>
            <w:hideMark/>
          </w:tcPr>
          <w:p w:rsidR="00A60B3D" w:rsidRDefault="00A60B3D">
            <w:pPr>
              <w:rPr>
                <w:rFonts w:ascii="Calibri" w:eastAsiaTheme="minorHAnsi" w:hAnsi="Calibri" w:cs="Calibri"/>
                <w:sz w:val="22"/>
                <w:szCs w:val="22"/>
              </w:rPr>
            </w:pPr>
          </w:p>
        </w:tc>
        <w:tc>
          <w:tcPr>
            <w:tcW w:w="1654" w:type="dxa"/>
            <w:vMerge/>
            <w:tcBorders>
              <w:top w:val="single" w:sz="24" w:space="0" w:color="767171"/>
              <w:left w:val="nil"/>
              <w:bottom w:val="single" w:sz="24" w:space="0" w:color="767171"/>
              <w:right w:val="single" w:sz="8" w:space="0" w:color="FFFFFF"/>
            </w:tcBorders>
            <w:vAlign w:val="center"/>
            <w:hideMark/>
          </w:tcPr>
          <w:p w:rsidR="00A60B3D" w:rsidRDefault="00A60B3D">
            <w:pPr>
              <w:rPr>
                <w:rFonts w:ascii="Calibri" w:eastAsiaTheme="minorHAnsi" w:hAnsi="Calibri" w:cs="Calibri"/>
                <w:sz w:val="22"/>
                <w:szCs w:val="22"/>
              </w:rPr>
            </w:pPr>
          </w:p>
        </w:tc>
        <w:tc>
          <w:tcPr>
            <w:tcW w:w="1260"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Before Sep 1</w:t>
            </w:r>
          </w:p>
        </w:tc>
        <w:tc>
          <w:tcPr>
            <w:tcW w:w="1182"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After Sep 1</w:t>
            </w:r>
          </w:p>
        </w:tc>
        <w:tc>
          <w:tcPr>
            <w:tcW w:w="1654" w:type="dxa"/>
            <w:vMerge/>
            <w:tcBorders>
              <w:top w:val="single" w:sz="24" w:space="0" w:color="767171"/>
              <w:left w:val="nil"/>
              <w:bottom w:val="single" w:sz="24" w:space="0" w:color="767171"/>
              <w:right w:val="single" w:sz="8" w:space="0" w:color="FFFFFF"/>
            </w:tcBorders>
            <w:vAlign w:val="center"/>
            <w:hideMark/>
          </w:tcPr>
          <w:p w:rsidR="00A60B3D" w:rsidRDefault="00A60B3D">
            <w:pPr>
              <w:rPr>
                <w:rFonts w:ascii="Calibri" w:eastAsiaTheme="minorHAnsi" w:hAnsi="Calibri" w:cs="Calibri"/>
                <w:sz w:val="22"/>
                <w:szCs w:val="22"/>
              </w:rPr>
            </w:pPr>
          </w:p>
        </w:tc>
        <w:tc>
          <w:tcPr>
            <w:tcW w:w="2111" w:type="dxa"/>
            <w:vMerge/>
            <w:tcBorders>
              <w:top w:val="single" w:sz="24" w:space="0" w:color="767171"/>
              <w:left w:val="nil"/>
              <w:bottom w:val="single" w:sz="24" w:space="0" w:color="767171"/>
              <w:right w:val="single" w:sz="8" w:space="0" w:color="FFFFFF"/>
            </w:tcBorders>
            <w:vAlign w:val="center"/>
            <w:hideMark/>
          </w:tcPr>
          <w:p w:rsidR="00A60B3D" w:rsidRDefault="00A60B3D">
            <w:pPr>
              <w:rPr>
                <w:rFonts w:ascii="Calibri" w:eastAsiaTheme="minorHAnsi" w:hAnsi="Calibri" w:cs="Calibri"/>
                <w:sz w:val="22"/>
                <w:szCs w:val="22"/>
              </w:rPr>
            </w:pPr>
          </w:p>
        </w:tc>
      </w:tr>
      <w:tr w:rsidR="00A60B3D" w:rsidTr="002D4DC2">
        <w:trPr>
          <w:trHeight w:val="372"/>
        </w:trPr>
        <w:tc>
          <w:tcPr>
            <w:tcW w:w="844" w:type="dxa"/>
            <w:tcBorders>
              <w:top w:val="nil"/>
              <w:left w:val="single" w:sz="8" w:space="0" w:color="FFFFFF"/>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2011</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2511</w:t>
            </w:r>
          </w:p>
        </w:tc>
        <w:tc>
          <w:tcPr>
            <w:tcW w:w="1260"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4.2%</w:t>
            </w:r>
          </w:p>
        </w:tc>
        <w:tc>
          <w:tcPr>
            <w:tcW w:w="1182"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4.6%</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8.8%</w:t>
            </w:r>
          </w:p>
        </w:tc>
        <w:tc>
          <w:tcPr>
            <w:tcW w:w="2111"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r>
              <w:t>No</w:t>
            </w:r>
          </w:p>
        </w:tc>
      </w:tr>
      <w:tr w:rsidR="00A60B3D" w:rsidTr="002D4DC2">
        <w:trPr>
          <w:trHeight w:val="372"/>
        </w:trPr>
        <w:tc>
          <w:tcPr>
            <w:tcW w:w="844" w:type="dxa"/>
            <w:tcBorders>
              <w:top w:val="nil"/>
              <w:left w:val="single" w:sz="8" w:space="0" w:color="FFFFFF"/>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2012</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1769</w:t>
            </w:r>
          </w:p>
        </w:tc>
        <w:tc>
          <w:tcPr>
            <w:tcW w:w="1260"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2.8%</w:t>
            </w:r>
          </w:p>
        </w:tc>
        <w:tc>
          <w:tcPr>
            <w:tcW w:w="1182"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7.3%</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10.2%</w:t>
            </w:r>
          </w:p>
        </w:tc>
        <w:tc>
          <w:tcPr>
            <w:tcW w:w="2111"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r>
              <w:t>No</w:t>
            </w:r>
          </w:p>
        </w:tc>
      </w:tr>
      <w:tr w:rsidR="00A60B3D" w:rsidTr="002D4DC2">
        <w:trPr>
          <w:trHeight w:val="672"/>
        </w:trPr>
        <w:tc>
          <w:tcPr>
            <w:tcW w:w="844" w:type="dxa"/>
            <w:tcBorders>
              <w:top w:val="nil"/>
              <w:left w:val="single" w:sz="8" w:space="0" w:color="FFFFFF"/>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2013</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1202</w:t>
            </w:r>
          </w:p>
        </w:tc>
        <w:tc>
          <w:tcPr>
            <w:tcW w:w="1260"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1.8%</w:t>
            </w:r>
          </w:p>
        </w:tc>
        <w:tc>
          <w:tcPr>
            <w:tcW w:w="1182"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4.2%</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2.3%</w:t>
            </w:r>
          </w:p>
        </w:tc>
        <w:tc>
          <w:tcPr>
            <w:tcW w:w="2111"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r>
              <w:t>After Sep 1</w:t>
            </w:r>
          </w:p>
        </w:tc>
      </w:tr>
      <w:tr w:rsidR="00A60B3D" w:rsidTr="002D4DC2">
        <w:trPr>
          <w:trHeight w:val="672"/>
        </w:trPr>
        <w:tc>
          <w:tcPr>
            <w:tcW w:w="844" w:type="dxa"/>
            <w:tcBorders>
              <w:top w:val="nil"/>
              <w:left w:val="single" w:sz="8" w:space="0" w:color="FFFFFF"/>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2014</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1031</w:t>
            </w:r>
          </w:p>
        </w:tc>
        <w:tc>
          <w:tcPr>
            <w:tcW w:w="1260"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1.8%</w:t>
            </w:r>
          </w:p>
        </w:tc>
        <w:tc>
          <w:tcPr>
            <w:tcW w:w="1182"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5.3%</w:t>
            </w:r>
          </w:p>
        </w:tc>
        <w:tc>
          <w:tcPr>
            <w:tcW w:w="1654"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2.4%</w:t>
            </w:r>
          </w:p>
        </w:tc>
        <w:tc>
          <w:tcPr>
            <w:tcW w:w="2111" w:type="dxa"/>
            <w:tcBorders>
              <w:top w:val="nil"/>
              <w:left w:val="nil"/>
              <w:bottom w:val="single" w:sz="8" w:space="0" w:color="FFFFFF"/>
              <w:right w:val="single" w:sz="8" w:space="0" w:color="FFFFFF"/>
            </w:tcBorders>
            <w:shd w:val="clear" w:color="auto" w:fill="B4C7E7"/>
            <w:tcMar>
              <w:top w:w="15" w:type="dxa"/>
              <w:left w:w="15" w:type="dxa"/>
              <w:bottom w:w="0" w:type="dxa"/>
              <w:right w:w="15" w:type="dxa"/>
            </w:tcMar>
            <w:vAlign w:val="bottom"/>
            <w:hideMark/>
          </w:tcPr>
          <w:p w:rsidR="00A60B3D" w:rsidRDefault="00A60B3D">
            <w:r>
              <w:t>After Sep 1</w:t>
            </w:r>
          </w:p>
        </w:tc>
      </w:tr>
      <w:tr w:rsidR="00A60B3D" w:rsidTr="002D4DC2">
        <w:trPr>
          <w:trHeight w:val="372"/>
        </w:trPr>
        <w:tc>
          <w:tcPr>
            <w:tcW w:w="844" w:type="dxa"/>
            <w:tcBorders>
              <w:top w:val="nil"/>
              <w:left w:val="single" w:sz="8" w:space="0" w:color="FFFFFF"/>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2015</w:t>
            </w:r>
          </w:p>
        </w:tc>
        <w:tc>
          <w:tcPr>
            <w:tcW w:w="1654"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pPr>
              <w:jc w:val="center"/>
              <w:rPr>
                <w:color w:val="000000"/>
              </w:rPr>
            </w:pPr>
            <w:r>
              <w:rPr>
                <w:color w:val="000000"/>
              </w:rPr>
              <w:t>1571</w:t>
            </w:r>
          </w:p>
        </w:tc>
        <w:tc>
          <w:tcPr>
            <w:tcW w:w="1260"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Pr="002D4DC2" w:rsidRDefault="00A60B3D">
            <w:pPr>
              <w:rPr>
                <w:color w:val="000000"/>
              </w:rPr>
            </w:pPr>
            <w:r w:rsidRPr="002D4DC2">
              <w:rPr>
                <w:color w:val="000000"/>
              </w:rPr>
              <w:t>1.0%</w:t>
            </w:r>
          </w:p>
        </w:tc>
        <w:tc>
          <w:tcPr>
            <w:tcW w:w="1182"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Pr="002D4DC2" w:rsidRDefault="00A60B3D">
            <w:pPr>
              <w:rPr>
                <w:color w:val="000000"/>
              </w:rPr>
            </w:pPr>
            <w:r w:rsidRPr="002D4DC2">
              <w:rPr>
                <w:color w:val="000000"/>
              </w:rPr>
              <w:t>3.2%</w:t>
            </w:r>
          </w:p>
        </w:tc>
        <w:tc>
          <w:tcPr>
            <w:tcW w:w="1654"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pPr>
              <w:rPr>
                <w:color w:val="000000"/>
              </w:rPr>
            </w:pPr>
            <w:r>
              <w:rPr>
                <w:color w:val="000000"/>
              </w:rPr>
              <w:t>1.0%</w:t>
            </w:r>
          </w:p>
        </w:tc>
        <w:tc>
          <w:tcPr>
            <w:tcW w:w="2111" w:type="dxa"/>
            <w:tcBorders>
              <w:top w:val="nil"/>
              <w:left w:val="nil"/>
              <w:bottom w:val="single" w:sz="24" w:space="0" w:color="767171"/>
              <w:right w:val="single" w:sz="8" w:space="0" w:color="FFFFFF"/>
            </w:tcBorders>
            <w:shd w:val="clear" w:color="auto" w:fill="B4C7E7"/>
            <w:tcMar>
              <w:top w:w="15" w:type="dxa"/>
              <w:left w:w="15" w:type="dxa"/>
              <w:bottom w:w="0" w:type="dxa"/>
              <w:right w:w="15" w:type="dxa"/>
            </w:tcMar>
            <w:vAlign w:val="bottom"/>
            <w:hideMark/>
          </w:tcPr>
          <w:p w:rsidR="00A60B3D" w:rsidRDefault="00A60B3D">
            <w:r>
              <w:t>All Season</w:t>
            </w:r>
          </w:p>
        </w:tc>
      </w:tr>
    </w:tbl>
    <w:p w:rsidR="00A60B3D" w:rsidRPr="002D4DC2" w:rsidRDefault="00400CAA" w:rsidP="002D4DC2">
      <w:pPr>
        <w:pStyle w:val="PlainText"/>
        <w:numPr>
          <w:ilvl w:val="0"/>
          <w:numId w:val="1"/>
        </w:numPr>
        <w:ind w:left="270" w:hanging="270"/>
        <w:rPr>
          <w:rFonts w:ascii="Times New Roman" w:hAnsi="Times New Roman" w:cs="Times New Roman"/>
          <w:sz w:val="24"/>
          <w:szCs w:val="24"/>
        </w:rPr>
      </w:pPr>
      <w:r w:rsidRPr="002D4DC2">
        <w:rPr>
          <w:rFonts w:ascii="Times New Roman" w:hAnsi="Times New Roman" w:cs="Times New Roman"/>
          <w:sz w:val="24"/>
          <w:szCs w:val="24"/>
        </w:rPr>
        <w:t>Data provided by Cameron Sharpe, ODFW, Personal Communication, April 2016.</w:t>
      </w:r>
    </w:p>
    <w:p w:rsidR="004E6709" w:rsidRDefault="004E6709" w:rsidP="002D4DC2">
      <w:pPr>
        <w:pStyle w:val="PlainText"/>
        <w:numPr>
          <w:ilvl w:val="0"/>
          <w:numId w:val="1"/>
        </w:numPr>
        <w:ind w:left="270" w:hanging="270"/>
        <w:rPr>
          <w:rFonts w:ascii="Times New Roman" w:hAnsi="Times New Roman" w:cs="Times New Roman"/>
          <w:sz w:val="24"/>
          <w:szCs w:val="24"/>
        </w:rPr>
      </w:pPr>
      <w:r>
        <w:rPr>
          <w:rFonts w:ascii="Times New Roman" w:hAnsi="Times New Roman" w:cs="Times New Roman"/>
          <w:sz w:val="24"/>
          <w:szCs w:val="24"/>
        </w:rPr>
        <w:t xml:space="preserve">Unassigned adults most likely originated below Cougar Dam, however a small percent could have originated above Cougar Dam spawned from </w:t>
      </w:r>
      <w:proofErr w:type="spellStart"/>
      <w:r>
        <w:rPr>
          <w:rFonts w:ascii="Times New Roman" w:hAnsi="Times New Roman" w:cs="Times New Roman"/>
          <w:sz w:val="24"/>
          <w:szCs w:val="24"/>
        </w:rPr>
        <w:t>adfluvial</w:t>
      </w:r>
      <w:proofErr w:type="spellEnd"/>
      <w:r>
        <w:rPr>
          <w:rFonts w:ascii="Times New Roman" w:hAnsi="Times New Roman" w:cs="Times New Roman"/>
          <w:sz w:val="24"/>
          <w:szCs w:val="24"/>
        </w:rPr>
        <w:t xml:space="preserve"> parents (see </w:t>
      </w:r>
      <w:proofErr w:type="spellStart"/>
      <w:r>
        <w:rPr>
          <w:rFonts w:ascii="Times New Roman" w:hAnsi="Times New Roman" w:cs="Times New Roman"/>
          <w:sz w:val="24"/>
          <w:szCs w:val="24"/>
        </w:rPr>
        <w:t>Sard</w:t>
      </w:r>
      <w:proofErr w:type="spellEnd"/>
      <w:r>
        <w:rPr>
          <w:rFonts w:ascii="Times New Roman" w:hAnsi="Times New Roman" w:cs="Times New Roman"/>
          <w:sz w:val="24"/>
          <w:szCs w:val="24"/>
        </w:rPr>
        <w:t xml:space="preserve"> presentation, Willamette Fisheries Science Review, February 2016)</w:t>
      </w:r>
    </w:p>
    <w:p w:rsidR="00400CAA" w:rsidRPr="002D4DC2" w:rsidRDefault="00400CAA" w:rsidP="002D4DC2">
      <w:pPr>
        <w:pStyle w:val="PlainText"/>
        <w:numPr>
          <w:ilvl w:val="0"/>
          <w:numId w:val="1"/>
        </w:numPr>
        <w:ind w:left="270" w:hanging="270"/>
        <w:rPr>
          <w:rFonts w:ascii="Times New Roman" w:hAnsi="Times New Roman" w:cs="Times New Roman"/>
          <w:sz w:val="24"/>
          <w:szCs w:val="24"/>
        </w:rPr>
      </w:pPr>
      <w:r w:rsidRPr="002D4DC2">
        <w:rPr>
          <w:rFonts w:ascii="Times New Roman" w:hAnsi="Times New Roman" w:cs="Times New Roman"/>
          <w:sz w:val="24"/>
          <w:szCs w:val="24"/>
        </w:rPr>
        <w:t xml:space="preserve">Data provided by Nick </w:t>
      </w:r>
      <w:proofErr w:type="spellStart"/>
      <w:r w:rsidRPr="002D4DC2">
        <w:rPr>
          <w:rFonts w:ascii="Times New Roman" w:hAnsi="Times New Roman" w:cs="Times New Roman"/>
          <w:sz w:val="24"/>
          <w:szCs w:val="24"/>
        </w:rPr>
        <w:t>Sard</w:t>
      </w:r>
      <w:proofErr w:type="spellEnd"/>
      <w:r w:rsidRPr="002D4DC2">
        <w:rPr>
          <w:rFonts w:ascii="Times New Roman" w:hAnsi="Times New Roman" w:cs="Times New Roman"/>
          <w:sz w:val="24"/>
          <w:szCs w:val="24"/>
        </w:rPr>
        <w:t>, OSU, Personal Communication, April 2016.</w:t>
      </w:r>
    </w:p>
    <w:p w:rsidR="00400CAA" w:rsidRPr="000E317F" w:rsidRDefault="00400CAA" w:rsidP="002D4DC2">
      <w:pPr>
        <w:pStyle w:val="PlainText"/>
        <w:ind w:left="720"/>
        <w:rPr>
          <w:rFonts w:ascii="Times New Roman" w:hAnsi="Times New Roman" w:cs="Times New Roman"/>
          <w:b/>
          <w:sz w:val="24"/>
          <w:szCs w:val="24"/>
        </w:rPr>
      </w:pPr>
    </w:p>
    <w:p w:rsidR="00094620" w:rsidRDefault="00094620" w:rsidP="00B43BDE">
      <w:pPr>
        <w:pStyle w:val="PlainText"/>
        <w:rPr>
          <w:rFonts w:ascii="Times New Roman" w:hAnsi="Times New Roman" w:cs="Times New Roman"/>
          <w:b/>
          <w:sz w:val="24"/>
          <w:szCs w:val="24"/>
        </w:rPr>
      </w:pPr>
    </w:p>
    <w:p w:rsidR="0023743D" w:rsidRDefault="0023743D" w:rsidP="00B43BDE">
      <w:pPr>
        <w:pStyle w:val="PlainText"/>
        <w:rPr>
          <w:rFonts w:ascii="Times New Roman" w:hAnsi="Times New Roman" w:cs="Times New Roman"/>
          <w:b/>
          <w:sz w:val="24"/>
          <w:szCs w:val="24"/>
        </w:rPr>
      </w:pPr>
    </w:p>
    <w:p w:rsidR="0023743D" w:rsidRDefault="0023743D" w:rsidP="00B43BDE">
      <w:pPr>
        <w:pStyle w:val="PlainText"/>
        <w:rPr>
          <w:rFonts w:ascii="Times New Roman" w:hAnsi="Times New Roman" w:cs="Times New Roman"/>
          <w:b/>
          <w:sz w:val="24"/>
          <w:szCs w:val="24"/>
        </w:rPr>
      </w:pPr>
    </w:p>
    <w:p w:rsidR="0023743D" w:rsidRDefault="0023743D" w:rsidP="00B43BDE">
      <w:pPr>
        <w:pStyle w:val="PlainText"/>
        <w:rPr>
          <w:rFonts w:ascii="Times New Roman" w:hAnsi="Times New Roman" w:cs="Times New Roman"/>
          <w:b/>
          <w:sz w:val="24"/>
          <w:szCs w:val="24"/>
        </w:rPr>
      </w:pPr>
    </w:p>
    <w:p w:rsidR="004A6640"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Type of outage</w:t>
      </w:r>
      <w:r w:rsidR="004B3BA2">
        <w:rPr>
          <w:rFonts w:ascii="Times New Roman" w:hAnsi="Times New Roman" w:cs="Times New Roman"/>
          <w:b/>
          <w:sz w:val="24"/>
          <w:szCs w:val="24"/>
        </w:rPr>
        <w:t>/change</w:t>
      </w:r>
      <w:r w:rsidRPr="000E317F">
        <w:rPr>
          <w:rFonts w:ascii="Times New Roman" w:hAnsi="Times New Roman" w:cs="Times New Roman"/>
          <w:b/>
          <w:sz w:val="24"/>
          <w:szCs w:val="24"/>
        </w:rPr>
        <w:t xml:space="preserve"> required</w:t>
      </w:r>
      <w:r w:rsidR="004A6640">
        <w:rPr>
          <w:rFonts w:ascii="Times New Roman" w:hAnsi="Times New Roman" w:cs="Times New Roman"/>
          <w:b/>
          <w:sz w:val="24"/>
          <w:szCs w:val="24"/>
        </w:rPr>
        <w:t xml:space="preserve"> </w:t>
      </w:r>
    </w:p>
    <w:p w:rsidR="00B43BDE" w:rsidRPr="000E317F" w:rsidRDefault="00277CD7" w:rsidP="00B43BDE">
      <w:pPr>
        <w:pStyle w:val="PlainText"/>
        <w:rPr>
          <w:rFonts w:ascii="Times New Roman" w:hAnsi="Times New Roman" w:cs="Times New Roman"/>
          <w:b/>
          <w:sz w:val="24"/>
          <w:szCs w:val="24"/>
        </w:rPr>
      </w:pPr>
      <w:r>
        <w:rPr>
          <w:rFonts w:ascii="Times New Roman" w:hAnsi="Times New Roman" w:cs="Times New Roman"/>
          <w:sz w:val="24"/>
          <w:szCs w:val="24"/>
        </w:rPr>
        <w:t>The protocol</w:t>
      </w:r>
      <w:r w:rsidR="003D2F4E">
        <w:rPr>
          <w:rFonts w:ascii="Times New Roman" w:hAnsi="Times New Roman" w:cs="Times New Roman"/>
          <w:sz w:val="24"/>
          <w:szCs w:val="24"/>
        </w:rPr>
        <w:t xml:space="preserve"> </w:t>
      </w:r>
      <w:r w:rsidR="00AB28C5">
        <w:rPr>
          <w:rFonts w:ascii="Times New Roman" w:hAnsi="Times New Roman" w:cs="Times New Roman"/>
          <w:sz w:val="24"/>
          <w:szCs w:val="24"/>
        </w:rPr>
        <w:t xml:space="preserve">for moving fish </w:t>
      </w:r>
      <w:r>
        <w:rPr>
          <w:rFonts w:ascii="Times New Roman" w:hAnsi="Times New Roman" w:cs="Times New Roman"/>
          <w:sz w:val="24"/>
          <w:szCs w:val="24"/>
        </w:rPr>
        <w:t xml:space="preserve">at the Cougar Fish Facility has changed the last few years and was documented in MOC 15CGR02 for the 2015 fish collection season.  The protocol implemented during the 2013 and 2014 fish collection seasons </w:t>
      </w:r>
      <w:r w:rsidR="00C4170A">
        <w:rPr>
          <w:rFonts w:ascii="Times New Roman" w:hAnsi="Times New Roman" w:cs="Times New Roman"/>
          <w:sz w:val="24"/>
          <w:szCs w:val="24"/>
        </w:rPr>
        <w:t>was</w:t>
      </w:r>
      <w:r>
        <w:rPr>
          <w:rFonts w:ascii="Times New Roman" w:hAnsi="Times New Roman" w:cs="Times New Roman"/>
          <w:sz w:val="24"/>
          <w:szCs w:val="24"/>
        </w:rPr>
        <w:t xml:space="preserve"> documented in </w:t>
      </w:r>
      <w:r w:rsidR="00492119">
        <w:rPr>
          <w:rFonts w:ascii="Times New Roman" w:hAnsi="Times New Roman" w:cs="Times New Roman"/>
          <w:sz w:val="24"/>
          <w:szCs w:val="24"/>
        </w:rPr>
        <w:t>Attachment 5</w:t>
      </w:r>
      <w:r>
        <w:rPr>
          <w:rFonts w:ascii="Times New Roman" w:hAnsi="Times New Roman" w:cs="Times New Roman"/>
          <w:sz w:val="24"/>
          <w:szCs w:val="24"/>
        </w:rPr>
        <w:t xml:space="preserve"> provided by ODFW.  Ultimately, the protocol will be included into the Willamette Fish Operations Plan once a </w:t>
      </w:r>
      <w:r w:rsidR="00AE7753">
        <w:rPr>
          <w:rFonts w:ascii="Times New Roman" w:hAnsi="Times New Roman" w:cs="Times New Roman"/>
          <w:sz w:val="24"/>
          <w:szCs w:val="24"/>
        </w:rPr>
        <w:t xml:space="preserve">consistent </w:t>
      </w:r>
      <w:r>
        <w:rPr>
          <w:rFonts w:ascii="Times New Roman" w:hAnsi="Times New Roman" w:cs="Times New Roman"/>
          <w:sz w:val="24"/>
          <w:szCs w:val="24"/>
        </w:rPr>
        <w:t xml:space="preserve">protocol is </w:t>
      </w:r>
      <w:r w:rsidR="00AE7753">
        <w:rPr>
          <w:rFonts w:ascii="Times New Roman" w:hAnsi="Times New Roman" w:cs="Times New Roman"/>
          <w:sz w:val="24"/>
          <w:szCs w:val="24"/>
        </w:rPr>
        <w:t>established</w:t>
      </w:r>
      <w:r>
        <w:rPr>
          <w:rFonts w:ascii="Times New Roman" w:hAnsi="Times New Roman" w:cs="Times New Roman"/>
          <w:sz w:val="24"/>
          <w:szCs w:val="24"/>
        </w:rPr>
        <w:t xml:space="preserve">.  </w:t>
      </w:r>
    </w:p>
    <w:p w:rsidR="009827E8" w:rsidRPr="000E317F" w:rsidRDefault="009827E8" w:rsidP="00B43BDE">
      <w:pPr>
        <w:pStyle w:val="PlainText"/>
        <w:rPr>
          <w:rFonts w:ascii="Times New Roman" w:hAnsi="Times New Roman" w:cs="Times New Roman"/>
          <w:b/>
          <w:sz w:val="24"/>
          <w:szCs w:val="24"/>
        </w:rPr>
      </w:pP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Impact on facility operation</w:t>
      </w:r>
    </w:p>
    <w:p w:rsidR="00B11232" w:rsidRPr="004A6640" w:rsidRDefault="004A6640" w:rsidP="00B43BDE">
      <w:pPr>
        <w:pStyle w:val="PlainText"/>
        <w:rPr>
          <w:rFonts w:ascii="Times New Roman" w:hAnsi="Times New Roman" w:cs="Times New Roman"/>
          <w:sz w:val="24"/>
          <w:szCs w:val="24"/>
        </w:rPr>
      </w:pPr>
      <w:r>
        <w:rPr>
          <w:rFonts w:ascii="Times New Roman" w:hAnsi="Times New Roman" w:cs="Times New Roman"/>
          <w:sz w:val="24"/>
          <w:szCs w:val="24"/>
        </w:rPr>
        <w:t>Operations would revert back to those performed in 2013 and 2014</w:t>
      </w:r>
      <w:r w:rsidR="00582CFF">
        <w:rPr>
          <w:rFonts w:ascii="Times New Roman" w:hAnsi="Times New Roman" w:cs="Times New Roman"/>
          <w:sz w:val="24"/>
          <w:szCs w:val="24"/>
        </w:rPr>
        <w:t xml:space="preserve"> and should decrease required personnel time</w:t>
      </w:r>
      <w:r>
        <w:rPr>
          <w:rFonts w:ascii="Times New Roman" w:hAnsi="Times New Roman" w:cs="Times New Roman"/>
          <w:sz w:val="24"/>
          <w:szCs w:val="24"/>
        </w:rPr>
        <w:t>.</w:t>
      </w:r>
    </w:p>
    <w:p w:rsidR="004A6640" w:rsidRPr="000E317F" w:rsidRDefault="004A6640" w:rsidP="00B43BDE">
      <w:pPr>
        <w:pStyle w:val="PlainText"/>
        <w:rPr>
          <w:rFonts w:ascii="Times New Roman" w:hAnsi="Times New Roman" w:cs="Times New Roman"/>
          <w:b/>
          <w:sz w:val="24"/>
          <w:szCs w:val="24"/>
        </w:rPr>
      </w:pPr>
    </w:p>
    <w:p w:rsidR="00650AFF" w:rsidRDefault="00650AFF" w:rsidP="00B43BDE">
      <w:pPr>
        <w:pStyle w:val="PlainText"/>
        <w:rPr>
          <w:rFonts w:ascii="Times New Roman" w:hAnsi="Times New Roman" w:cs="Times New Roman"/>
          <w:b/>
          <w:sz w:val="24"/>
          <w:szCs w:val="24"/>
        </w:rPr>
      </w:pPr>
      <w:r>
        <w:rPr>
          <w:rFonts w:ascii="Times New Roman" w:hAnsi="Times New Roman" w:cs="Times New Roman"/>
          <w:b/>
          <w:sz w:val="24"/>
          <w:szCs w:val="24"/>
        </w:rPr>
        <w:t>Dates of impacts/repairs</w:t>
      </w:r>
    </w:p>
    <w:p w:rsidR="00650AFF" w:rsidRPr="004A6640" w:rsidRDefault="004A6640" w:rsidP="00B43BDE">
      <w:pPr>
        <w:pStyle w:val="PlainText"/>
        <w:rPr>
          <w:rFonts w:ascii="Times New Roman" w:hAnsi="Times New Roman" w:cs="Times New Roman"/>
          <w:sz w:val="24"/>
          <w:szCs w:val="24"/>
        </w:rPr>
      </w:pPr>
      <w:r w:rsidRPr="004A6640">
        <w:rPr>
          <w:rFonts w:ascii="Times New Roman" w:hAnsi="Times New Roman" w:cs="Times New Roman"/>
          <w:sz w:val="24"/>
          <w:szCs w:val="24"/>
        </w:rPr>
        <w:t>During the 201</w:t>
      </w:r>
      <w:r w:rsidR="0061258A">
        <w:rPr>
          <w:rFonts w:ascii="Times New Roman" w:hAnsi="Times New Roman" w:cs="Times New Roman"/>
          <w:sz w:val="24"/>
          <w:szCs w:val="24"/>
        </w:rPr>
        <w:t>6</w:t>
      </w:r>
      <w:r w:rsidRPr="004A6640">
        <w:rPr>
          <w:rFonts w:ascii="Times New Roman" w:hAnsi="Times New Roman" w:cs="Times New Roman"/>
          <w:sz w:val="24"/>
          <w:szCs w:val="24"/>
        </w:rPr>
        <w:t xml:space="preserve"> adult fish collection season</w:t>
      </w:r>
      <w:r w:rsidR="00AE7753">
        <w:rPr>
          <w:rFonts w:ascii="Times New Roman" w:hAnsi="Times New Roman" w:cs="Times New Roman"/>
          <w:sz w:val="24"/>
          <w:szCs w:val="24"/>
        </w:rPr>
        <w:t xml:space="preserve"> through October 15</w:t>
      </w:r>
      <w:r>
        <w:rPr>
          <w:rFonts w:ascii="Times New Roman" w:hAnsi="Times New Roman" w:cs="Times New Roman"/>
          <w:sz w:val="24"/>
          <w:szCs w:val="24"/>
        </w:rPr>
        <w:t>.</w:t>
      </w:r>
    </w:p>
    <w:p w:rsidR="004A6640" w:rsidRDefault="004A6640" w:rsidP="00B43BDE">
      <w:pPr>
        <w:pStyle w:val="PlainText"/>
        <w:rPr>
          <w:rFonts w:ascii="Times New Roman" w:hAnsi="Times New Roman" w:cs="Times New Roman"/>
          <w:b/>
          <w:sz w:val="24"/>
          <w:szCs w:val="24"/>
        </w:rPr>
      </w:pPr>
    </w:p>
    <w:p w:rsidR="00650248"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Length of time</w:t>
      </w:r>
    </w:p>
    <w:p w:rsidR="00277CD7" w:rsidRPr="00277CD7" w:rsidRDefault="00277CD7" w:rsidP="00B43BDE">
      <w:pPr>
        <w:pStyle w:val="PlainText"/>
        <w:rPr>
          <w:rFonts w:ascii="Times New Roman" w:hAnsi="Times New Roman" w:cs="Times New Roman"/>
          <w:sz w:val="24"/>
          <w:szCs w:val="24"/>
        </w:rPr>
      </w:pPr>
      <w:r>
        <w:rPr>
          <w:rFonts w:ascii="Times New Roman" w:hAnsi="Times New Roman" w:cs="Times New Roman"/>
          <w:sz w:val="24"/>
          <w:szCs w:val="24"/>
        </w:rPr>
        <w:t>Implementation of proposed action will occur</w:t>
      </w:r>
      <w:r w:rsidR="00AE7753">
        <w:rPr>
          <w:rFonts w:ascii="Times New Roman" w:hAnsi="Times New Roman" w:cs="Times New Roman"/>
          <w:sz w:val="24"/>
          <w:szCs w:val="24"/>
        </w:rPr>
        <w:t xml:space="preserve"> for the next several months</w:t>
      </w:r>
      <w:r>
        <w:rPr>
          <w:rFonts w:ascii="Times New Roman" w:hAnsi="Times New Roman" w:cs="Times New Roman"/>
          <w:sz w:val="24"/>
          <w:szCs w:val="24"/>
        </w:rPr>
        <w:t xml:space="preserve"> through October</w:t>
      </w:r>
      <w:r w:rsidR="00582CFF">
        <w:rPr>
          <w:rFonts w:ascii="Times New Roman" w:hAnsi="Times New Roman" w:cs="Times New Roman"/>
          <w:sz w:val="24"/>
          <w:szCs w:val="24"/>
        </w:rPr>
        <w:t xml:space="preserve"> 15</w:t>
      </w:r>
      <w:r>
        <w:rPr>
          <w:rFonts w:ascii="Times New Roman" w:hAnsi="Times New Roman" w:cs="Times New Roman"/>
          <w:sz w:val="24"/>
          <w:szCs w:val="24"/>
        </w:rPr>
        <w:t>.</w:t>
      </w:r>
    </w:p>
    <w:p w:rsidR="004A6640" w:rsidRPr="004A6640" w:rsidRDefault="004A6640" w:rsidP="00B43BDE">
      <w:pPr>
        <w:pStyle w:val="PlainText"/>
        <w:rPr>
          <w:rFonts w:ascii="Times New Roman" w:hAnsi="Times New Roman" w:cs="Times New Roman"/>
          <w:sz w:val="24"/>
          <w:szCs w:val="24"/>
        </w:rPr>
      </w:pPr>
    </w:p>
    <w:p w:rsidR="00F2390B"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Expected impacts on fish</w:t>
      </w:r>
    </w:p>
    <w:p w:rsidR="00C17F2C" w:rsidRDefault="004A6640" w:rsidP="00B43BDE">
      <w:pPr>
        <w:pStyle w:val="PlainText"/>
        <w:rPr>
          <w:rFonts w:ascii="Times New Roman" w:hAnsi="Times New Roman" w:cs="Times New Roman"/>
          <w:sz w:val="24"/>
          <w:szCs w:val="24"/>
        </w:rPr>
      </w:pPr>
      <w:r>
        <w:rPr>
          <w:rFonts w:ascii="Times New Roman" w:hAnsi="Times New Roman" w:cs="Times New Roman"/>
          <w:sz w:val="24"/>
          <w:szCs w:val="24"/>
        </w:rPr>
        <w:t>Naturally produced spring Chinook salmon destined to spawn above Cougar Dam will not be</w:t>
      </w:r>
      <w:r w:rsidR="001F78E7">
        <w:rPr>
          <w:rFonts w:ascii="Times New Roman" w:hAnsi="Times New Roman" w:cs="Times New Roman"/>
          <w:sz w:val="24"/>
          <w:szCs w:val="24"/>
        </w:rPr>
        <w:t>:</w:t>
      </w:r>
      <w:r>
        <w:rPr>
          <w:rFonts w:ascii="Times New Roman" w:hAnsi="Times New Roman" w:cs="Times New Roman"/>
          <w:sz w:val="24"/>
          <w:szCs w:val="24"/>
        </w:rPr>
        <w:t xml:space="preserve"> delayed, double </w:t>
      </w:r>
      <w:proofErr w:type="spellStart"/>
      <w:r>
        <w:rPr>
          <w:rFonts w:ascii="Times New Roman" w:hAnsi="Times New Roman" w:cs="Times New Roman"/>
          <w:sz w:val="24"/>
          <w:szCs w:val="24"/>
        </w:rPr>
        <w:t>floy</w:t>
      </w:r>
      <w:proofErr w:type="spellEnd"/>
      <w:r>
        <w:rPr>
          <w:rFonts w:ascii="Times New Roman" w:hAnsi="Times New Roman" w:cs="Times New Roman"/>
          <w:sz w:val="24"/>
          <w:szCs w:val="24"/>
        </w:rPr>
        <w:t xml:space="preserve"> tagged, and handled twice thus reducing stress to fish.  </w:t>
      </w:r>
      <w:r w:rsidR="00846AF2">
        <w:rPr>
          <w:rFonts w:ascii="Times New Roman" w:hAnsi="Times New Roman" w:cs="Times New Roman"/>
          <w:sz w:val="24"/>
          <w:szCs w:val="24"/>
        </w:rPr>
        <w:t xml:space="preserve">Approximately 2% of </w:t>
      </w:r>
      <w:r>
        <w:rPr>
          <w:rFonts w:ascii="Times New Roman" w:hAnsi="Times New Roman" w:cs="Times New Roman"/>
          <w:sz w:val="24"/>
          <w:szCs w:val="24"/>
        </w:rPr>
        <w:t>fish that were produce</w:t>
      </w:r>
      <w:r w:rsidR="00B74AC9">
        <w:rPr>
          <w:rFonts w:ascii="Times New Roman" w:hAnsi="Times New Roman" w:cs="Times New Roman"/>
          <w:sz w:val="24"/>
          <w:szCs w:val="24"/>
        </w:rPr>
        <w:t>d</w:t>
      </w:r>
      <w:r>
        <w:rPr>
          <w:rFonts w:ascii="Times New Roman" w:hAnsi="Times New Roman" w:cs="Times New Roman"/>
          <w:sz w:val="24"/>
          <w:szCs w:val="24"/>
        </w:rPr>
        <w:t xml:space="preserve"> below Cougar Dam may be transported and released above Cougar Dam.</w:t>
      </w:r>
    </w:p>
    <w:p w:rsidR="004A6640" w:rsidRPr="004A6640" w:rsidRDefault="004A6640" w:rsidP="00B43BDE">
      <w:pPr>
        <w:pStyle w:val="PlainText"/>
        <w:rPr>
          <w:rFonts w:ascii="Times New Roman" w:hAnsi="Times New Roman" w:cs="Times New Roman"/>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sectPr w:rsidR="009827E8" w:rsidRPr="000E317F" w:rsidSect="002C76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0A3CC9"/>
    <w:multiLevelType w:val="hybridMultilevel"/>
    <w:tmpl w:val="0030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DE"/>
    <w:rsid w:val="00094620"/>
    <w:rsid w:val="000B14E6"/>
    <w:rsid w:val="000B1661"/>
    <w:rsid w:val="000D0353"/>
    <w:rsid w:val="000E317F"/>
    <w:rsid w:val="000F4D28"/>
    <w:rsid w:val="001C21FD"/>
    <w:rsid w:val="001C5FF1"/>
    <w:rsid w:val="001F78E7"/>
    <w:rsid w:val="00207DB8"/>
    <w:rsid w:val="00223AEA"/>
    <w:rsid w:val="0023743D"/>
    <w:rsid w:val="002444BF"/>
    <w:rsid w:val="0025287F"/>
    <w:rsid w:val="00262966"/>
    <w:rsid w:val="00271E4E"/>
    <w:rsid w:val="00277CD7"/>
    <w:rsid w:val="00286BB9"/>
    <w:rsid w:val="002B6E92"/>
    <w:rsid w:val="002C7626"/>
    <w:rsid w:val="002D36D9"/>
    <w:rsid w:val="002D4DC2"/>
    <w:rsid w:val="003D2F4E"/>
    <w:rsid w:val="00400CAA"/>
    <w:rsid w:val="0044558B"/>
    <w:rsid w:val="00492119"/>
    <w:rsid w:val="0049216A"/>
    <w:rsid w:val="0049553B"/>
    <w:rsid w:val="004A6640"/>
    <w:rsid w:val="004B3BA2"/>
    <w:rsid w:val="004E6709"/>
    <w:rsid w:val="00523234"/>
    <w:rsid w:val="00545ACE"/>
    <w:rsid w:val="00582CFF"/>
    <w:rsid w:val="005C439A"/>
    <w:rsid w:val="005F5218"/>
    <w:rsid w:val="0061258A"/>
    <w:rsid w:val="00647FCF"/>
    <w:rsid w:val="00650248"/>
    <w:rsid w:val="00650AFF"/>
    <w:rsid w:val="006676EF"/>
    <w:rsid w:val="006E6DEA"/>
    <w:rsid w:val="007026F7"/>
    <w:rsid w:val="007417D9"/>
    <w:rsid w:val="0075334D"/>
    <w:rsid w:val="0078646D"/>
    <w:rsid w:val="007B58F7"/>
    <w:rsid w:val="007C04F4"/>
    <w:rsid w:val="007D50AD"/>
    <w:rsid w:val="00846AF2"/>
    <w:rsid w:val="008902E7"/>
    <w:rsid w:val="00890DC7"/>
    <w:rsid w:val="00911D8E"/>
    <w:rsid w:val="00933EB6"/>
    <w:rsid w:val="0095652D"/>
    <w:rsid w:val="009827E8"/>
    <w:rsid w:val="0098360E"/>
    <w:rsid w:val="00985148"/>
    <w:rsid w:val="00A53657"/>
    <w:rsid w:val="00A60B3D"/>
    <w:rsid w:val="00A769FA"/>
    <w:rsid w:val="00AB28C5"/>
    <w:rsid w:val="00AE678B"/>
    <w:rsid w:val="00AE7753"/>
    <w:rsid w:val="00AF3D8E"/>
    <w:rsid w:val="00B11232"/>
    <w:rsid w:val="00B30EA5"/>
    <w:rsid w:val="00B4247A"/>
    <w:rsid w:val="00B43BDE"/>
    <w:rsid w:val="00B74AC9"/>
    <w:rsid w:val="00B83661"/>
    <w:rsid w:val="00BB4113"/>
    <w:rsid w:val="00BD19AC"/>
    <w:rsid w:val="00BE5955"/>
    <w:rsid w:val="00BE6C17"/>
    <w:rsid w:val="00C17F2C"/>
    <w:rsid w:val="00C4170A"/>
    <w:rsid w:val="00C44C26"/>
    <w:rsid w:val="00C54EED"/>
    <w:rsid w:val="00C8104A"/>
    <w:rsid w:val="00CA1C1D"/>
    <w:rsid w:val="00CB35E9"/>
    <w:rsid w:val="00CC4479"/>
    <w:rsid w:val="00CF019A"/>
    <w:rsid w:val="00D04073"/>
    <w:rsid w:val="00D11A5C"/>
    <w:rsid w:val="00D26B19"/>
    <w:rsid w:val="00DA250C"/>
    <w:rsid w:val="00E76694"/>
    <w:rsid w:val="00E948B1"/>
    <w:rsid w:val="00EB3991"/>
    <w:rsid w:val="00EB7805"/>
    <w:rsid w:val="00F00F1A"/>
    <w:rsid w:val="00F12E40"/>
    <w:rsid w:val="00F2390B"/>
    <w:rsid w:val="00F27FC1"/>
    <w:rsid w:val="00F339DF"/>
    <w:rsid w:val="00FB49B4"/>
    <w:rsid w:val="00FB760A"/>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43140B-D9F4-46D8-87C0-E3499A243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6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semiHidden/>
    <w:unhideWhenUsed/>
    <w:rsid w:val="007B58F7"/>
    <w:rPr>
      <w:rFonts w:ascii="Segoe UI" w:hAnsi="Segoe UI" w:cs="Segoe UI"/>
      <w:sz w:val="18"/>
      <w:szCs w:val="18"/>
    </w:rPr>
  </w:style>
  <w:style w:type="character" w:customStyle="1" w:styleId="BalloonTextChar">
    <w:name w:val="Balloon Text Char"/>
    <w:basedOn w:val="DefaultParagraphFont"/>
    <w:link w:val="BalloonText"/>
    <w:semiHidden/>
    <w:rsid w:val="007B58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97711">
      <w:bodyDiv w:val="1"/>
      <w:marLeft w:val="0"/>
      <w:marRight w:val="0"/>
      <w:marTop w:val="0"/>
      <w:marBottom w:val="0"/>
      <w:divBdr>
        <w:top w:val="none" w:sz="0" w:space="0" w:color="auto"/>
        <w:left w:val="none" w:sz="0" w:space="0" w:color="auto"/>
        <w:bottom w:val="none" w:sz="0" w:space="0" w:color="auto"/>
        <w:right w:val="none" w:sz="0" w:space="0" w:color="auto"/>
      </w:divBdr>
    </w:div>
    <w:div w:id="8603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1958C.C43C20D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6530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CW</cp:lastModifiedBy>
  <cp:revision>26</cp:revision>
  <cp:lastPrinted>2016-04-18T22:56:00Z</cp:lastPrinted>
  <dcterms:created xsi:type="dcterms:W3CDTF">2016-04-15T15:11:00Z</dcterms:created>
  <dcterms:modified xsi:type="dcterms:W3CDTF">2016-04-19T16:13:00Z</dcterms:modified>
</cp:coreProperties>
</file>